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0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/Relationships>
</file>

<file path=word/document.xml><?xml version="1.0" encoding="utf-8"?>
<w:document xmlns:a="http://schemas.openxmlformats.org/drawingml/2006/main" xmlns:pic="http://schemas.openxmlformats.org/drawingml/2006/picture" xmlns:w10="urn:schemas-microsoft-com:office:word" xmlns:o="urn:schemas-microsoft-com:office:office" xmlns:v="urn:schemas-microsoft-com:vml" xmlns:w="http://schemas.openxmlformats.org/wordprocessingml/2006/main" xmlns:r="http://schemas.openxmlformats.org/officeDocument/2006/relationships" xmlns:wp="http://schemas.openxmlformats.org/drawingml/2006/wordprocessingDrawing">
  <w:body>
    <w:p>
      <w:pPr>
        <w:pStyle w:val="000001"/>
        <w:rPr>
          <w:rStyle w:val="Strong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</w:p>
    <w:p>
      <w:pPr>
        <w:pStyle w:val="000001"/>
        <w:rPr>
          <w:rStyle w:val="Strong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</w:p>
    <w:p>
      <w:pPr>
        <w:pStyle w:val="000001"/>
        <w:rPr>
          <w:rStyle w:val="Strong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</w:p>
    <w:p>
      <w:pPr>
        <w:pStyle w:val="000001"/>
        <w:rPr>
          <w:rStyle w:val="Strong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</w:p>
    <w:p>
      <w:pPr>
        <w:pStyle w:val="000001"/>
        <w:rPr>
          <w:rStyle w:val="Strong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</w:p>
    <w:p>
      <w:pPr>
        <w:pStyle w:val="000001"/>
        <w:rPr>
          <w:rStyle w:val="Strong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</w:p>
    <w:p>
      <w:pPr>
        <w:pStyle w:val="000001"/>
        <w:rPr>
          <w:rStyle w:val="Strong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</w:p>
    <w:p>
      <w:pPr>
        <w:pStyle w:val="000001"/>
        <w:rPr>
          <w:rStyle w:val="Strong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</w:p>
    <w:p>
      <w:pPr>
        <w:pStyle w:val="000001"/>
        <w:jc w:val="center"/>
        <w:rPr>
          <w:rFonts w:ascii="宋体" w:hAnsi="宋体" w:cs="宋体"/>
          <w:b w:val="1"/>
          <w:bCs w:val="1"/>
          <w:i w:val="0"/>
          <w:iCs w:val="0"/>
          <w:caps w:val="0"/>
          <w:color w:val="0f1115"/>
          <w:spacing w:val="0"/>
          <w:sz w:val="72"/>
          <w:szCs w:val="7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1"/>
          <w:bCs w:val="1"/>
          <w:i w:val="0"/>
          <w:iCs w:val="0"/>
          <w:caps w:val="0"/>
          <w:color w:val="0f1115"/>
          <w:spacing w:val="0"/>
          <w:sz w:val="72"/>
          <w:szCs w:val="72"/>
          <w:shd w:val="clear" w:color="auto" w:fill="ffffff"/>
        </w:rPr>
        <w:t>新能源充电管理平台</w:t>
      </w:r>
      <w:r>
        <w:rPr>
          <w:rFonts w:hint="eastAsia" w:ascii="宋体" w:hAnsi="宋体" w:eastAsia="宋体" w:cs="宋体"/>
          <w:b w:val="1"/>
          <w:bCs w:val="1"/>
          <w:i w:val="0"/>
          <w:iCs w:val="0"/>
          <w:caps w:val="0"/>
          <w:color w:val="0f1115"/>
          <w:spacing w:val="0"/>
          <w:sz w:val="72"/>
          <w:szCs w:val="72"/>
          <w:shd w:val="clear" w:color="auto" w:fill="ffffff"/>
          <w:lang w:val="en-US" w:eastAsia="zh-CN"/>
        </w:rPr>
        <w:t>操作手册V1.0</w:t>
      </w:r>
      <w:r>
        <w:rPr>
          <w:rFonts w:hint="eastAsia" w:ascii="宋体" w:hAnsi="宋体" w:cs="宋体"/>
          <w:b w:val="1"/>
          <w:bCs w:val="1"/>
          <w:i w:val="0"/>
          <w:iCs w:val="0"/>
          <w:caps w:val="0"/>
          <w:color w:val="0f1115"/>
          <w:spacing w:val="0"/>
          <w:sz w:val="72"/>
          <w:szCs w:val="72"/>
          <w:shd w:val="clear" w:color="auto" w:fill="ffffff"/>
          <w:lang w:val="en-US" w:eastAsia="zh-CN"/>
        </w:rPr>
        <w:t>.0</w:t>
      </w:r>
    </w:p>
    <w:p>
      <w:pPr>
        <w:pStyle w:val="000001"/>
        <w:jc w:val="center"/>
        <w:rPr>
          <w:rFonts w:ascii="宋体" w:hAnsi="宋体" w:eastAsia="宋体" w:cs="宋体"/>
          <w:b w:val="1"/>
          <w:bCs w:val="1"/>
          <w:sz w:val="72"/>
          <w:szCs w:val="72"/>
          <w:lang w:val="en-US" w:eastAsia="zh-CN"/>
        </w:rPr>
      </w:pPr>
      <w:r>
        <w:rPr>
          <w:rFonts w:hint="eastAsia" w:ascii="宋体" w:hAnsi="宋体" w:cs="宋体"/>
          <w:b w:val="1"/>
          <w:bCs w:val="1"/>
          <w:i w:val="0"/>
          <w:iCs w:val="0"/>
          <w:caps w:val="0"/>
          <w:color w:val="0f1115"/>
          <w:spacing w:val="0"/>
          <w:sz w:val="72"/>
          <w:szCs w:val="72"/>
          <w:shd w:val="clear" w:color="auto" w:fill="ffffff"/>
          <w:lang w:val="en-US" w:eastAsia="zh-CN"/>
        </w:rPr>
        <w:br w:type="page"/>
      </w:r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"/>
        <w:gridCol w:w="823"/>
        <w:gridCol w:w="709"/>
        <w:gridCol w:w="1417"/>
        <w:gridCol w:w="1418"/>
        <w:gridCol w:w="3623"/>
      </w:tblGrid>
      <w:tr>
        <w:trPr>
          <w:cantSplit w:val="1"/>
        </w:trPr>
        <w:tc>
          <w:tcPr>
            <w:tcW w:w="1049" w:type="dxa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总页数</w:t>
            </w:r>
          </w:p>
        </w:tc>
        <w:tc>
          <w:tcPr>
            <w:tcW w:w="823" w:type="dxa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</w:p>
        </w:tc>
        <w:tc>
          <w:tcPr>
            <w:tcW w:w="709" w:type="dxa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版本</w:t>
            </w:r>
          </w:p>
        </w:tc>
        <w:tc>
          <w:tcPr>
            <w:tcW w:w="1417" w:type="dxa"/>
            <w:textDirection w:val="lrTb"/>
            <w:vAlign w:val="center"/>
          </w:tcPr>
          <w:p>
            <w:pPr>
              <w:pStyle w:val="000001"/>
              <w:rPr>
                <w:rFonts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V</w:t>
            </w:r>
            <w:r>
              <w:rPr>
                <w:sz w:val="18"/>
                <w:szCs w:val="18"/>
                <w:lang w:eastAsia="zh-CN"/>
              </w:rPr>
              <w:t>1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.0.0</w:t>
            </w:r>
          </w:p>
        </w:tc>
        <w:tc>
          <w:tcPr>
            <w:tcW w:w="1418" w:type="dxa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建立日期</w:t>
            </w:r>
          </w:p>
        </w:tc>
        <w:tc>
          <w:tcPr>
            <w:tcW w:w="3623" w:type="dxa"/>
            <w:textDirection w:val="lrTb"/>
            <w:vAlign w:val="center"/>
          </w:tcPr>
          <w:p>
            <w:pPr>
              <w:pStyle w:val="000001"/>
              <w:rPr>
                <w:rFonts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2025年12月22日</w:t>
            </w:r>
          </w:p>
        </w:tc>
      </w:tr>
      <w:tr>
        <w:trPr>
          <w:trHeight w:val="648" w:hRule="exact"/>
        </w:trPr>
        <w:tc>
          <w:tcPr>
            <w:tcW w:w="1049" w:type="dxa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编制人</w:t>
            </w:r>
          </w:p>
        </w:tc>
        <w:tc>
          <w:tcPr>
            <w:tcW w:w="7990" w:type="dxa"/>
            <w:gridSpan w:val="5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</w:p>
        </w:tc>
      </w:tr>
      <w:tr>
        <w:trPr>
          <w:trHeight w:val="648" w:hRule="exact"/>
        </w:trPr>
        <w:tc>
          <w:tcPr>
            <w:tcW w:w="1049" w:type="dxa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审核人</w:t>
            </w:r>
          </w:p>
        </w:tc>
        <w:tc>
          <w:tcPr>
            <w:tcW w:w="7990" w:type="dxa"/>
            <w:gridSpan w:val="5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</w:p>
        </w:tc>
      </w:tr>
      <w:tr>
        <w:trPr>
          <w:trHeight w:val="513" w:hRule="atLeast"/>
        </w:trPr>
        <w:tc>
          <w:tcPr>
            <w:tcW w:w="1049" w:type="dxa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批准人</w:t>
            </w:r>
          </w:p>
        </w:tc>
        <w:tc>
          <w:tcPr>
            <w:tcW w:w="2949" w:type="dxa"/>
            <w:gridSpan w:val="3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</w:p>
        </w:tc>
        <w:tc>
          <w:tcPr>
            <w:tcW w:w="1418" w:type="dxa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批准日期</w:t>
            </w:r>
          </w:p>
        </w:tc>
        <w:tc>
          <w:tcPr>
            <w:tcW w:w="3623" w:type="dxa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</w:p>
        </w:tc>
      </w:tr>
      <w:tr>
        <w:trPr>
          <w:trHeight w:val="513" w:hRule="atLeast"/>
        </w:trPr>
        <w:tc>
          <w:tcPr>
            <w:tcW w:w="1049" w:type="dxa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保管人</w:t>
            </w:r>
          </w:p>
        </w:tc>
        <w:tc>
          <w:tcPr>
            <w:tcW w:w="2949" w:type="dxa"/>
            <w:gridSpan w:val="3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</w:p>
        </w:tc>
        <w:tc>
          <w:tcPr>
            <w:tcW w:w="1418" w:type="dxa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存放位置</w:t>
            </w:r>
          </w:p>
        </w:tc>
        <w:tc>
          <w:tcPr>
            <w:tcW w:w="3623" w:type="dxa"/>
            <w:textDirection w:val="lrTb"/>
            <w:vAlign w:val="center"/>
          </w:tcPr>
          <w:p>
            <w:pPr>
              <w:pStyle w:val="000001"/>
              <w:rPr>
                <w:sz w:val="18"/>
                <w:szCs w:val="18"/>
              </w:rPr>
            </w:pPr>
          </w:p>
        </w:tc>
      </w:tr>
    </w:tbl>
    <w:p>
      <w:pPr>
        <w:pStyle w:val="000001"/>
        <w:jc w:val="center"/>
        <w:rPr>
          <w:b w:val="1"/>
          <w:sz w:val="44"/>
        </w:rPr>
      </w:pPr>
      <w:r>
        <w:rPr>
          <w:rFonts w:hint="eastAsia"/>
          <w:b w:val="1"/>
          <w:sz w:val="44"/>
        </w:rPr>
        <w:t>文件修改控制</w:t>
      </w:r>
    </w:p>
    <w:p>
      <w:pPr>
        <w:pStyle w:val="000001"/>
        <w:rPr/>
      </w:pPr>
    </w:p>
    <w:tbl>
      <w:tblPr>
        <w:tblW w:w="0" w:type="auto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93"/>
        <w:gridCol w:w="1333"/>
        <w:gridCol w:w="2494"/>
        <w:gridCol w:w="1095"/>
        <w:gridCol w:w="947"/>
        <w:gridCol w:w="1783"/>
      </w:tblGrid>
      <w:tr>
        <w:trPr>
          <w:cantSplit w:val="1"/>
          <w:trHeight w:val="640" w:hRule="atLeast"/>
        </w:trPr>
        <w:tc>
          <w:tcPr>
            <w:tcW w:w="704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宋体" w:hAnsi="宋体"/>
                <w:b w:val="1"/>
                <w:sz w:val="21"/>
                <w:szCs w:val="21"/>
              </w:rPr>
            </w:pPr>
            <w:r>
              <w:rPr>
                <w:rFonts w:hint="eastAsia" w:ascii="宋体" w:hAnsi="宋体"/>
                <w:b w:val="1"/>
                <w:sz w:val="21"/>
                <w:szCs w:val="21"/>
              </w:rPr>
              <w:t>序号</w:t>
            </w:r>
          </w:p>
        </w:tc>
        <w:tc>
          <w:tcPr>
            <w:tcW w:w="793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宋体" w:hAnsi="宋体"/>
                <w:b w:val="1"/>
                <w:sz w:val="21"/>
                <w:szCs w:val="21"/>
              </w:rPr>
            </w:pPr>
            <w:r>
              <w:rPr>
                <w:rFonts w:hint="eastAsia" w:ascii="宋体" w:hAnsi="宋体"/>
                <w:b w:val="1"/>
                <w:sz w:val="21"/>
                <w:szCs w:val="21"/>
              </w:rPr>
              <w:t>版本</w:t>
            </w:r>
          </w:p>
        </w:tc>
        <w:tc>
          <w:tcPr>
            <w:tcW w:w="1333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宋体" w:hAnsi="宋体"/>
                <w:b w:val="1"/>
                <w:sz w:val="21"/>
                <w:szCs w:val="21"/>
              </w:rPr>
            </w:pPr>
            <w:r>
              <w:rPr>
                <w:rFonts w:hint="eastAsia" w:ascii="宋体" w:hAnsi="宋体"/>
                <w:b w:val="1"/>
                <w:sz w:val="21"/>
                <w:szCs w:val="21"/>
              </w:rPr>
              <w:t>*变化状态</w:t>
            </w:r>
          </w:p>
        </w:tc>
        <w:tc>
          <w:tcPr>
            <w:tcW w:w="2494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宋体" w:hAnsi="宋体"/>
                <w:b w:val="1"/>
                <w:sz w:val="21"/>
                <w:szCs w:val="21"/>
              </w:rPr>
            </w:pPr>
            <w:r>
              <w:rPr>
                <w:rFonts w:hint="eastAsia" w:ascii="宋体" w:hAnsi="宋体"/>
                <w:b w:val="1"/>
                <w:sz w:val="21"/>
                <w:szCs w:val="21"/>
              </w:rPr>
              <w:t>修改内容/页码/条款</w:t>
            </w:r>
          </w:p>
        </w:tc>
        <w:tc>
          <w:tcPr>
            <w:tcW w:w="1095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宋体" w:hAnsi="宋体"/>
                <w:b w:val="1"/>
                <w:sz w:val="21"/>
                <w:szCs w:val="21"/>
              </w:rPr>
            </w:pPr>
            <w:r>
              <w:rPr>
                <w:rFonts w:hint="eastAsia" w:ascii="宋体" w:hAnsi="宋体"/>
                <w:b w:val="1"/>
                <w:sz w:val="21"/>
                <w:szCs w:val="21"/>
              </w:rPr>
              <w:t>修改人</w:t>
            </w:r>
          </w:p>
        </w:tc>
        <w:tc>
          <w:tcPr>
            <w:tcW w:w="947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宋体" w:hAnsi="宋体"/>
                <w:b w:val="1"/>
                <w:sz w:val="21"/>
                <w:szCs w:val="21"/>
              </w:rPr>
            </w:pPr>
            <w:r>
              <w:rPr>
                <w:rFonts w:hint="eastAsia" w:ascii="宋体" w:hAnsi="宋体"/>
                <w:b w:val="1"/>
                <w:sz w:val="21"/>
                <w:szCs w:val="21"/>
              </w:rPr>
              <w:t>批准人</w:t>
            </w:r>
          </w:p>
        </w:tc>
        <w:tc>
          <w:tcPr>
            <w:tcW w:w="1783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宋体" w:hAnsi="宋体"/>
                <w:b w:val="1"/>
                <w:sz w:val="21"/>
                <w:szCs w:val="21"/>
              </w:rPr>
            </w:pPr>
            <w:r>
              <w:rPr>
                <w:rFonts w:hint="eastAsia" w:ascii="宋体" w:hAnsi="宋体"/>
                <w:b w:val="1"/>
                <w:sz w:val="21"/>
                <w:szCs w:val="21"/>
              </w:rPr>
              <w:t>修改日期</w:t>
            </w:r>
          </w:p>
        </w:tc>
      </w:tr>
      <w:tr>
        <w:trPr>
          <w:cantSplit w:val="1"/>
          <w:trHeight w:val="640" w:hRule="atLeast"/>
        </w:trPr>
        <w:tc>
          <w:tcPr>
            <w:tcW w:w="704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1</w:t>
            </w:r>
          </w:p>
        </w:tc>
        <w:tc>
          <w:tcPr>
            <w:tcW w:w="793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1.0.0</w:t>
            </w:r>
          </w:p>
        </w:tc>
        <w:tc>
          <w:tcPr>
            <w:tcW w:w="1333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A</w:t>
            </w:r>
          </w:p>
        </w:tc>
        <w:tc>
          <w:tcPr>
            <w:tcW w:w="2494" w:type="dxa"/>
            <w:textDirection w:val="lrTb"/>
            <w:vAlign w:val="center"/>
          </w:tcPr>
          <w:p>
            <w:pPr>
              <w:pStyle w:val="000011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初稿</w:t>
            </w:r>
          </w:p>
        </w:tc>
        <w:tc>
          <w:tcPr>
            <w:tcW w:w="1095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娄恩会</w:t>
            </w:r>
          </w:p>
        </w:tc>
        <w:tc>
          <w:tcPr>
            <w:tcW w:w="947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783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20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25</w:t>
            </w:r>
            <w:r>
              <w:rPr>
                <w:rFonts w:ascii="宋体" w:hAnsi="宋体"/>
                <w:sz w:val="21"/>
                <w:szCs w:val="21"/>
              </w:rPr>
              <w:t>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宋体" w:hAnsi="宋体"/>
                <w:sz w:val="21"/>
                <w:szCs w:val="21"/>
              </w:rPr>
              <w:t>月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22</w:t>
            </w:r>
            <w:r>
              <w:rPr>
                <w:rFonts w:ascii="宋体" w:hAnsi="宋体"/>
                <w:sz w:val="21"/>
                <w:szCs w:val="21"/>
              </w:rPr>
              <w:t>日</w:t>
            </w:r>
          </w:p>
        </w:tc>
      </w:tr>
      <w:tr>
        <w:trPr>
          <w:cantSplit w:val="1"/>
          <w:trHeight w:val="640" w:hRule="atLeast"/>
        </w:trPr>
        <w:tc>
          <w:tcPr>
            <w:tcW w:w="704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</w:p>
        </w:tc>
        <w:tc>
          <w:tcPr>
            <w:tcW w:w="793" w:type="dxa"/>
            <w:textDirection w:val="lrTb"/>
            <w:vAlign w:val="center"/>
          </w:tcPr>
          <w:p>
            <w:pPr>
              <w:pStyle w:val="000001"/>
              <w:rPr>
                <w:rFonts w:eastAsia="宋体"/>
                <w:sz w:val="21"/>
                <w:szCs w:val="21"/>
                <w:lang w:val="en-US" w:eastAsia="zh-CN"/>
              </w:rPr>
            </w:pPr>
          </w:p>
        </w:tc>
        <w:tc>
          <w:tcPr>
            <w:tcW w:w="1333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</w:p>
        </w:tc>
        <w:tc>
          <w:tcPr>
            <w:tcW w:w="249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095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</w:p>
        </w:tc>
        <w:tc>
          <w:tcPr>
            <w:tcW w:w="947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783" w:type="dxa"/>
            <w:textDirection w:val="lrTb"/>
            <w:vAlign w:val="center"/>
          </w:tcPr>
          <w:p>
            <w:pPr>
              <w:pStyle w:val="000001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rPr>
          <w:cantSplit w:val="1"/>
          <w:trHeight w:val="640" w:hRule="atLeast"/>
        </w:trPr>
        <w:tc>
          <w:tcPr>
            <w:tcW w:w="70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79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33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249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095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947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78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</w:tr>
      <w:tr>
        <w:trPr>
          <w:cantSplit w:val="1"/>
          <w:trHeight w:val="640" w:hRule="atLeast"/>
        </w:trPr>
        <w:tc>
          <w:tcPr>
            <w:tcW w:w="70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79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33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249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095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947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78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</w:tr>
      <w:tr>
        <w:trPr>
          <w:cantSplit w:val="1"/>
          <w:trHeight w:val="640" w:hRule="atLeast"/>
        </w:trPr>
        <w:tc>
          <w:tcPr>
            <w:tcW w:w="70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79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33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249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095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947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78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</w:tr>
      <w:tr>
        <w:trPr>
          <w:cantSplit w:val="1"/>
          <w:trHeight w:val="640" w:hRule="atLeast"/>
        </w:trPr>
        <w:tc>
          <w:tcPr>
            <w:tcW w:w="70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79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33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249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095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947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78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</w:tr>
      <w:tr>
        <w:trPr>
          <w:cantSplit w:val="1"/>
          <w:trHeight w:val="640" w:hRule="atLeast"/>
        </w:trPr>
        <w:tc>
          <w:tcPr>
            <w:tcW w:w="70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79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33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249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095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947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78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</w:tr>
      <w:tr>
        <w:trPr>
          <w:cantSplit w:val="1"/>
          <w:trHeight w:val="640" w:hRule="atLeast"/>
        </w:trPr>
        <w:tc>
          <w:tcPr>
            <w:tcW w:w="70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79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33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249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095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947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78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</w:tr>
      <w:tr>
        <w:trPr>
          <w:cantSplit w:val="1"/>
          <w:trHeight w:val="640" w:hRule="atLeast"/>
        </w:trPr>
        <w:tc>
          <w:tcPr>
            <w:tcW w:w="70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79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33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2494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095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947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  <w:tc>
          <w:tcPr>
            <w:tcW w:w="1783" w:type="dxa"/>
            <w:textDirection w:val="lrTb"/>
            <w:vAlign w:val="center"/>
          </w:tcPr>
          <w:p>
            <w:pPr>
              <w:pStyle w:val="000001"/>
              <w:rPr>
                <w:sz w:val="21"/>
                <w:szCs w:val="21"/>
              </w:rPr>
            </w:pPr>
          </w:p>
        </w:tc>
      </w:tr>
    </w:tbl>
    <w:p>
      <w:pPr>
        <w:pStyle w:val="000001"/>
        <w:jc w:val="center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*变化状态：A——增加，M——修改，D——删除</w:t>
      </w:r>
    </w:p>
    <w:p>
      <w:pPr>
        <w:pStyle w:val="000003"/>
        <w:numPr>
          <w:ilvl w:val="0"/>
          <w:numId w:val="2"/>
        </w:numPr>
        <w:pBdr/>
        <w:tabs>
          <w:tab w:val="clear" w:pos="312"/>
        </w:tabs>
        <w:bidi w:val="0"/>
        <w:ind/>
        <w:rPr>
          <w:lang w:val="en-US" w:eastAsia="zh-CN"/>
        </w:rPr>
      </w:pPr>
      <w:r>
        <w:rPr/>
        <w:br w:type="page"/>
      </w:r>
      <w:bookmarkStart w:id="1" w:name="_Toc20918"/>
      <w:r>
        <w:rPr>
          <w:rFonts w:hint="eastAsia"/>
          <w:lang w:val="en-US" w:eastAsia="zh-CN"/>
        </w:rPr>
        <w:t>管理端</w:t>
      </w:r>
      <w:bookmarkEnd w:id="1"/>
    </w:p>
    <w:p>
      <w:pPr>
        <w:pStyle w:val="000004"/>
        <w:pBdr/>
        <w:bidi w:val="0"/>
        <w:ind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运营账号</w:t>
      </w:r>
    </w:p>
    <w:p>
      <w:pPr>
        <w:pStyle w:val="000001"/>
        <w:pBdr/>
        <w:bidi w:val="0"/>
        <w:ind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线上操作地址：</w:t>
      </w:r>
      <w:r>
        <w:rPr>
          <w:rStyle w:val="cktyqm"/>
          <w:color/>
        </w:rPr>
        <w:fldChar w:fldCharType="begin"/>
      </w:r>
      <w:r>
        <w:rPr>
          <w:rStyle w:val="cktyqm"/>
          <w:color/>
        </w:rPr>
        <w:instrText xml:space="preserve">HYPERLINK https://admin.vipcharge.net/login?redirect=/index normalLink \tdkey kc5zn3 \tdfe -10 \tdfn https%3A//admin.vipcharge.net/login%3Fredirect%3D/index \tdfu https://admin.vipcharge.net/login?redirect=/index \tdlt inline </w:instrText>
      </w:r>
      <w:r>
        <w:rPr>
          <w:rStyle w:val="cktyqm"/>
          <w:color/>
        </w:rPr>
        <w:fldChar w:fldCharType="separate"/>
      </w:r>
      <w:r>
        <w:rPr>
          <w:rStyle w:val="cktyqm"/>
          <w:color/>
        </w:rPr>
        <w:t>https://admin.vipcharge.net/login?redirect=/index</w:t>
      </w:r>
      <w:r>
        <w:rPr>
          <w:rStyle w:val="cktyqm"/>
          <w:color/>
        </w:rPr>
        <w:fldChar w:fldCharType="end"/>
      </w:r>
    </w:p>
    <w:p>
      <w:pPr>
        <w:snapToGrid w:val="1"/>
        <w:spacing w:line="240"/>
        <w:ind/>
        <w:rPr/>
      </w:pPr>
      <w:r>
        <w:rPr>
          <w:i w:val="0"/>
          <w:strike w:val="0"/>
          <w:spacing w:val="0"/>
          <w:u w:val="none"/>
        </w:rPr>
        <w:t>运营账号</w:t>
      </w:r>
    </w:p>
    <w:p>
      <w:pPr>
        <w:pStyle w:val="000001"/>
        <w:pBdr>
          <w:bottom/>
        </w:pBdr>
        <w:bidi w:val="0"/>
        <w:ind/>
        <w:rPr>
          <w:rFonts w:hint="eastAsia"/>
          <w:lang w:val="en-US" w:eastAsia="zh-CN"/>
        </w:rPr>
      </w:pPr>
      <w:r>
        <w:rPr>
          <w:i w:val="0"/>
          <w:strike w:val="0"/>
          <w:spacing w:val="0"/>
          <w:u w:val="none"/>
        </w:rPr>
        <w:t>新能源 xinnengyuan @charging2025</w:t>
      </w:r>
    </w:p>
    <w:p>
      <w:pPr>
        <w:pStyle w:val="00000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运营首页</w:t>
      </w:r>
    </w:p>
    <w:p>
      <w:pPr>
        <w:pStyle w:val="000001"/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这是一个 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运营管理后台的首页仪表盘（Dashboard）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 ，它以数据可视化方式呈现平台的核心运营概览，便于管理员快速掌握业务状况。通过图表识别业务波动和增长趋势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。</w:t>
      </w:r>
    </w:p>
    <w:p>
      <w:pPr>
        <w:pStyle w:val="000001"/>
        <w:rPr>
          <w:rStyle w:val="Strong"/>
          <w:rFonts w:hint="eastAsia"/>
          <w:sz w:val="24"/>
          <w:szCs w:val="24"/>
          <w:lang w:val="en-US" w:eastAsia="zh-CN"/>
        </w:rPr>
      </w:pPr>
      <w:r>
        <w:rPr>
          <w:rStyle w:val="00000e"/>
          <w:rFonts w:hint="eastAsia"/>
          <w:sz w:val="24"/>
          <w:szCs w:val="24"/>
          <w:lang w:val="en-US" w:eastAsia="zh-CN"/>
        </w:rPr>
        <w:t>主要模块如下：</w:t>
      </w:r>
    </w:p>
    <w:p>
      <w:pPr>
        <w:pStyle w:val="000001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以卡片形式展示</w:t>
      </w:r>
      <w:r>
        <w:rPr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四大类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关键指标的总览数据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：</w:t>
      </w: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用户新增数据统计、充值统计、充电统计、电度统计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。</w:t>
      </w:r>
    </w:p>
    <w:p>
      <w:pPr>
        <w:pStyle w:val="000001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电桩信息统计（实时监控）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：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总枪数/在线数/空闲数/故障数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/使用数量</w:t>
      </w:r>
    </w:p>
    <w:p>
      <w:pPr>
        <w:pStyle w:val="000001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订单折线图、订单消费柱状图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：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展示最近7天每日订单量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订单消费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的变化趋势</w:t>
      </w:r>
    </w:p>
    <w:p>
      <w:pPr>
        <w:pStyle w:val="00000d"/>
        <w:bidi w:val="0"/>
        <w:rPr>
          <w:rFonts w:hint="eastAsia"/>
          <w:lang w:val="en-US" w:eastAsia="zh-CN"/>
        </w:rPr>
      </w:pPr>
      <w:r>
        <w:rPr>
          <w:b w:val="1"/>
          <w:bCs w:val="1"/>
        </w:rPr>
        <w:t>电站今日充电金额排名</w:t>
      </w:r>
      <w:r>
        <w:rPr>
          <w:rFonts w:hint="eastAsia"/>
          <w:lang w:eastAsia="zh-CN"/>
        </w:rPr>
        <w:t>：</w:t>
      </w:r>
      <w:r>
        <w:rPr/>
        <w:t>展示各个电站在当日的充电收入排名或贡献度。</w:t>
      </w:r>
    </w:p>
    <w:p>
      <w:pPr>
        <w:pStyle w:val="000001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26" style="width:428.002pt;height:235.094pt;" o:bordertopcolor="auto" o:borderleftcolor="auto" o:borderbottomcolor="auto" o:borderrightcolor="auto" type="#_x0000_t75">
            <v:imagedata o:title="" r:id="rId4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投资人首页</w:t>
      </w:r>
    </w:p>
    <w:p>
      <w:pPr>
        <w:pStyle w:val="000001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这是一个 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运营管理后台的首页仪表盘（Dashboard）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 ，它以数据可视化方式呈现平台的核心运营概览，便于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投资人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快速掌握业务状况。通过图表识别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投资电站下数据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波动和增长趋势</w:t>
      </w:r>
    </w:p>
    <w:p>
      <w:pPr>
        <w:pStyle w:val="000001"/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</w:pP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。</w:t>
      </w:r>
    </w:p>
    <w:p>
      <w:pPr>
        <w:pStyle w:val="000001"/>
        <w:rPr>
          <w:rStyle w:val="Strong"/>
          <w:rFonts w:hint="eastAsia"/>
          <w:sz w:val="24"/>
          <w:szCs w:val="24"/>
          <w:lang w:val="en-US" w:eastAsia="zh-CN"/>
        </w:rPr>
      </w:pPr>
      <w:r>
        <w:rPr>
          <w:rStyle w:val="00000e"/>
          <w:rFonts w:hint="eastAsia"/>
          <w:sz w:val="24"/>
          <w:szCs w:val="24"/>
          <w:lang w:val="en-US" w:eastAsia="zh-CN"/>
        </w:rPr>
        <w:t>主要模块如下：</w:t>
      </w:r>
    </w:p>
    <w:p>
      <w:pPr>
        <w:pStyle w:val="000001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以卡片形式展示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三</w:t>
      </w:r>
      <w:r>
        <w:rPr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大类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关键指标的总览数据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：</w:t>
      </w: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用户新增数据统计、充电统计、电度统计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。</w:t>
      </w:r>
    </w:p>
    <w:p>
      <w:pPr>
        <w:pStyle w:val="000001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电桩信息统计（实时监控）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：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总枪数/在线数/空闲数/故障数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/使用数量</w:t>
      </w:r>
    </w:p>
    <w:p>
      <w:pPr>
        <w:pStyle w:val="000001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订单折线图、订单消费柱状图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：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展示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投资人名下电站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最近7天每日订单量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订单消费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的变化趋势</w:t>
      </w:r>
    </w:p>
    <w:p>
      <w:pPr>
        <w:pStyle w:val="00000d"/>
        <w:bidi w:val="0"/>
        <w:rPr>
          <w:rFonts w:hint="eastAsia"/>
          <w:lang w:val="en-US" w:eastAsia="zh-CN"/>
        </w:rPr>
      </w:pPr>
      <w:r>
        <w:rPr>
          <w:b w:val="1"/>
          <w:bCs w:val="1"/>
        </w:rPr>
        <w:t>电站今日充电金额排名</w:t>
      </w:r>
      <w:r>
        <w:rPr>
          <w:rFonts w:hint="eastAsia"/>
          <w:lang w:eastAsia="zh-CN"/>
        </w:rPr>
        <w:t>：</w:t>
      </w:r>
      <w:r>
        <w:rPr/>
        <w:t>展示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投资人名下</w:t>
      </w:r>
      <w:r>
        <w:rPr/>
        <w:t>各个电站在当日的充电收入排名或贡献度。</w:t>
      </w:r>
    </w:p>
    <w:p>
      <w:pPr>
        <w:pStyle w:val="000001"/>
        <w:rPr>
          <w:rFonts w:hint="eastAsia"/>
          <w:lang w:val="en-US" w:eastAsia="zh-CN"/>
        </w:rPr>
      </w:pPr>
    </w:p>
    <w:p>
      <w:pPr>
        <w:pStyle w:val="000001"/>
        <w:rPr>
          <w:rFonts w:hint="eastAsia"/>
          <w:lang w:val="en-US" w:eastAsia="zh-CN"/>
        </w:rPr>
      </w:pPr>
    </w:p>
    <w:p>
      <w:pPr>
        <w:pStyle w:val="000001"/>
        <w:rPr>
          <w:lang w:val="en-US" w:eastAsia="zh-CN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27" style="width:414.702pt;height:245.448pt;" o:bordertopcolor="auto" o:borderleftcolor="auto" o:borderbottomcolor="auto" o:borderrightcolor="auto" type="#_x0000_t75">
            <v:imagedata o:title="" r:id="rId5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rPr>
          <w:lang w:val="en-US" w:eastAsia="zh-CN"/>
        </w:rPr>
      </w:pPr>
    </w:p>
    <w:p>
      <w:pPr>
        <w:pStyle w:val="000004"/>
        <w:numPr>
          <w:ilvl w:val="1"/>
          <w:numId w:val="1"/>
        </w:numPr>
        <w:bidi w:val="0"/>
        <w:ind w:left="576" w:leftChars="0" w:hanging="576" w:firstLineChars="0"/>
        <w:rPr>
          <w:lang w:val="en-US" w:eastAsia="zh-CN"/>
        </w:rPr>
      </w:pPr>
      <w:bookmarkStart w:id="2" w:name="_Toc15395"/>
      <w:r>
        <w:rPr>
          <w:rFonts w:hint="eastAsia"/>
          <w:lang w:val="en-US" w:eastAsia="zh-CN"/>
        </w:rPr>
        <w:t>用户管理</w:t>
      </w:r>
      <w:bookmarkEnd w:id="2"/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1.1.1功能描述</w:t>
      </w:r>
    </w:p>
    <w:p>
      <w:pPr>
        <w:pStyle w:val="000001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该模块是后台管理员用于管理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通过</w:t>
      </w: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即途充电小程序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所有注册用户及其相关信息的核心模块，主要包含“用户列表”和“用户车辆”两个子部分。</w: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1.1.2用户列表</w:t>
      </w:r>
    </w:p>
    <w:p>
      <w:pPr>
        <w:pStyle w:val="00000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用户列表与搜索界面，方便管理员通过条件（手机号，昵称，注册时间）模糊查询快速定位用户具体信息，查询导出用户基本信息（登录，资产）信息，如下图所示：</w:t>
      </w:r>
    </w:p>
    <w:p>
      <w:pPr>
        <w:pStyle w:val="000001"/>
        <w:rPr>
          <w:lang w:val="en-US" w:eastAsia="zh-CN"/>
        </w:rPr>
      </w:pPr>
    </w:p>
    <w:p>
      <w:pPr>
        <w:pStyle w:val="000001"/>
        <w:rPr>
          <w:lang w:val="en-US" w:eastAsia="zh-CN"/>
        </w:rPr>
      </w:pPr>
    </w:p>
    <w:p>
      <w:pPr>
        <w:pStyle w:val="000001"/>
        <w:bidi w:val="0"/>
        <w:rPr/>
      </w:pPr>
      <w:bookmarkStart w:id="3" w:name="_Toc8204"/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28" style="mso-position-horizontal-relative:page;mso-position-vertical-relative:page;width:414.456pt;height:169.608pt;" o:bordertopcolor="auto" o:borderleftcolor="auto" o:borderbottomcolor="auto" o:borderrightcolor="auto" type="#_x0000_t75">
            <v:imagedata o:title="" r:id="rId6"/>
            <w10:bordertop type="none" width="0"/>
            <w10:borderbottom type="none" width="0"/>
            <w10:borderleft type="none" width="0"/>
            <w10:borderright type="none" width="0"/>
          </v:shape>
        </w:pict>
      </w:r>
      <w:bookmarkEnd w:id="3"/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1.1.3车辆列表</w:t>
      </w:r>
    </w:p>
    <w:p>
      <w:pPr>
        <w:pStyle w:val="000001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用于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查看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管理用户名下绑定或登记的车辆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车辆信息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。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目前管理员不具备用户车辆信息的操作功能，只允许查询导出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）</w:t>
      </w:r>
    </w:p>
    <w:p>
      <w:pPr>
        <w:pStyle w:val="000001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29" style="mso-position-horizontal-relative:page;mso-position-vertical-relative:page;width:414.056pt;height:139.952pt;" o:bordertopcolor="auto" o:borderleftcolor="auto" o:borderbottomcolor="auto" o:borderrightcolor="auto" type="#_x0000_t75">
            <v:imagedata o:title="" r:id="rId7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4"/>
        <w:bidi w:val="0"/>
        <w:rPr>
          <w:rFonts w:hint="eastAsia"/>
          <w:lang w:val="en-US" w:eastAsia="zh-CN"/>
        </w:rPr>
      </w:pPr>
      <w:bookmarkStart w:id="4" w:name="_Toc20468"/>
      <w:r>
        <w:rPr>
          <w:rFonts w:hint="eastAsia"/>
          <w:lang w:val="en-US" w:eastAsia="zh-CN"/>
        </w:rPr>
        <w:t>1.2储蓄管理</w:t>
      </w:r>
      <w:bookmarkEnd w:id="4"/>
    </w:p>
    <w:p>
      <w:pPr>
        <w:pStyle w:val="000005"/>
        <w:bidi w:val="0"/>
        <w:rPr>
          <w:lang w:val="en-US" w:eastAsia="zh-CN"/>
        </w:rPr>
      </w:pPr>
      <w:r>
        <w:rPr>
          <w:rFonts w:hint="eastAsia"/>
          <w:lang w:val="en-US" w:eastAsia="zh-CN"/>
        </w:rPr>
        <w:t>1.2.1功能描述</w:t>
      </w:r>
    </w:p>
    <w:p>
      <w:pPr>
        <w:pStyle w:val="000001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管理体系的核心模块，用于管理用户的储蓄行为、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套餐配置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、提现申请及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用户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整体资产状况</w: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1.2.2 储蓄订单</w:t>
      </w:r>
    </w:p>
    <w:p>
      <w:pPr>
        <w:pStyle w:val="000001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查看和管理所有用户购买储蓄套餐产生的订单记录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包含退款功能（</w:t>
      </w: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用户不想自己在小程序端发起退款的，可致电管理人员为用户发起退款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）,退款记录查询。具体查询条件展示列表如下</w:t>
      </w:r>
    </w:p>
    <w:p>
      <w:pPr>
        <w:pStyle w:val="000001"/>
        <w:rPr>
          <w:rFonts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30" style="mso-position-horizontal-relative:page;mso-position-vertical-relative:page;width:415.202pt;height:113.945pt;" o:bordertopcolor="auto" o:borderleftcolor="auto" o:borderbottomcolor="auto" o:borderrightcolor="auto" type="#_x0000_t75">
            <v:imagedata o:title="" r:id="rId8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rPr/>
      </w:pP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退款操作如下：点击申请退款（只有</w:t>
      </w: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未退款，未全额退款的支付完成的订单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可点击）弹框操作退款，根据当前订单可操作退款金额操作退款。不允许超出可退款金额范围。（请注意：退款需等微信退款回调通知，如后台操作退款请耐心等待片刻，回调完成退款状态更改</w:t>
      </w: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PS:订单退款可部分退款，部分退款完成，状态会变为部分退款属于正常现象，全额退款后状态变为退款完成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）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br w:type="textWrapping" w:clear="all"/>
      </w: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31" style="mso-position-horizontal-relative:page;mso-position-vertical-relative:page;width:415.058pt;height:195.96pt;" o:bordertopcolor="auto" o:borderleftcolor="auto" o:borderbottomcolor="auto" o:borderrightcolor="auto" type="#_x0000_t75">
            <v:imagedata o:title="" r:id="rId9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rPr/>
      </w:pPr>
      <w:r>
        <w:rPr>
          <w:rFonts w:hint="eastAsia"/>
          <w:lang w:val="en-US" w:eastAsia="zh-CN"/>
        </w:rPr>
        <w:t>当前储值订单的退款列表（一笔订单可分批退款）展示如下：</w:t>
      </w:r>
      <w:r>
        <w:rPr>
          <w:rFonts w:hint="eastAsia"/>
          <w:lang w:val="en-US" w:eastAsia="zh-CN"/>
        </w:rPr>
        <w:br w:type="textWrapping" w:clear="all"/>
      </w:r>
      <w:r>
        <w:rPr>
          <w:rFonts w:hint="eastAsia"/>
          <w:lang w:val="en-US" w:eastAsia="zh-CN"/>
        </w:rPr>
        <w:t>点击退款订单按钮</w:t>
      </w:r>
      <w:r>
        <w:rPr>
          <w:rFonts w:hint="eastAsia"/>
          <w:lang w:val="en-US" w:eastAsia="zh-CN"/>
        </w:rPr>
        <w:br w:type="textWrapping" w:clear="all"/>
      </w: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32" style="mso-position-horizontal-relative:page;mso-position-vertical-relative:page;width:415.248pt;height:114.345pt;" o:bordertopcolor="auto" o:borderleftcolor="auto" o:borderbottomcolor="auto" o:borderrightcolor="auto" type="#_x0000_t75">
            <v:imagedata o:title="" r:id="rId10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1.2.3储蓄套餐</w:t>
      </w:r>
    </w:p>
    <w:p>
      <w:pPr>
        <w:pStyle w:val="000001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配置和上架供用户购买的各种储蓄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充值套餐产品，主要功能包含：套餐的添加编辑（套餐状态），删除，查询导出功能</w:t>
      </w:r>
    </w:p>
    <w:p>
      <w:pPr>
        <w:pStyle w:val="000001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33" style="mso-position-horizontal-relative:page;mso-position-vertical-relative:page;width:414.199pt;height:172.144pt;" o:bordertopcolor="auto" o:borderleftcolor="auto" o:borderbottomcolor="auto" o:borderrightcolor="auto" type="#_x0000_t75">
            <v:imagedata o:title="" r:id="rId11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1.2.4提现管理</w:t>
      </w:r>
    </w:p>
    <w:p>
      <w:pPr>
        <w:pStyle w:val="000001"/>
        <w:rPr>
          <w:rFonts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查询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用户发起的储蓄资金提现申请，记录所有提现历史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目前小程序端提现功能已关闭,</w:t>
      </w: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highlight w:val="red"/>
          <w:shd w:val="clear" w:color="auto" w:fill="ffffff"/>
          <w:lang w:val="en-US" w:eastAsia="zh-CN"/>
        </w:rPr>
        <w:t>如后续需要开启此功能，请与研发确认配置对应的服务费率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）</w:t>
      </w:r>
    </w:p>
    <w:p>
      <w:pPr>
        <w:pStyle w:val="000001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34" style="mso-position-horizontal-relative:page;mso-position-vertical-relative:page;width:415.097pt;height:135.3pt;" o:bordertopcolor="auto" o:borderleftcolor="auto" o:borderbottomcolor="auto" o:borderrightcolor="auto" type="#_x0000_t75">
            <v:imagedata o:title="" r:id="rId12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1.2.5资产管理</w:t>
      </w:r>
    </w:p>
    <w:p>
      <w:pPr>
        <w:pStyle w:val="000001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总览平台所有用户的储蓄资产概况，进行数据监控与分析。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操作用户资产信息，管理员可在此页面对用户资产进行</w:t>
      </w: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充值划扣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，具体操作会记录到（订单模块-账单明细中）</w:t>
      </w:r>
    </w:p>
    <w:p>
      <w:pPr>
        <w:pStyle w:val="000001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35" style="mso-position-horizontal-relative:page;mso-position-vertical-relative:page;width:414.555pt;height:90.6975pt;" o:bordertopcolor="auto" o:borderleftcolor="auto" o:borderbottomcolor="auto" o:borderrightcolor="auto" type="#_x0000_t75">
            <v:imagedata o:title="" r:id="rId13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充值划扣：在接到用户具体沟通信息后，用户可能已通过私人转账充值，需要管理人员操作充值，点击资产管理---&gt;操作类型选择充值---&gt;输入具体金额或积分，对用户资产进行充值完成。划扣同上操作类型选择划扣，输入具体金额或积分，扣除用户资产信息</w:t>
      </w:r>
    </w:p>
    <w:p>
      <w:pPr>
        <w:pStyle w:val="000001"/>
        <w:rPr>
          <w:rFonts w:hint="eastAsia"/>
          <w:lang w:val="en-US" w:eastAsia="zh-CN"/>
        </w:rPr>
      </w:pPr>
    </w:p>
    <w:p>
      <w:pPr>
        <w:pStyle w:val="000001"/>
        <w:rPr>
          <w:rFonts w:hint="eastAsia"/>
          <w:lang w:val="en-US" w:eastAsia="zh-CN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36" style="mso-position-horizontal-relative:page;mso-position-vertical-relative:page;width:180.988pt;height:143.243pt;" o:bordertopcolor="auto" o:borderleftcolor="auto" o:borderbottomcolor="auto" o:borderrightcolor="auto" type="#_x0000_t75">
            <v:imagedata o:title="" r:id="rId14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4"/>
        <w:bidi w:val="0"/>
        <w:rPr>
          <w:rFonts w:hint="eastAsia"/>
          <w:lang w:val="en-US" w:eastAsia="zh-CN"/>
        </w:rPr>
      </w:pPr>
      <w:bookmarkStart w:id="5" w:name="_Toc7623"/>
      <w:r>
        <w:rPr>
          <w:rFonts w:hint="eastAsia"/>
          <w:lang w:val="en-US" w:eastAsia="zh-CN"/>
        </w:rPr>
        <w:t>1.3订单管理</w:t>
      </w:r>
      <w:bookmarkEnd w:id="5"/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1.3.1功能描述</w:t>
      </w:r>
    </w:p>
    <w:p>
      <w:pPr>
        <w:pStyle w:val="000001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平台充电业务的核心交易与结算管理中心，负责处理从充电消费、账单生成到发票申领的全流程。</w: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1.3.2充电订单</w:t>
      </w:r>
    </w:p>
    <w:p>
      <w:pPr>
        <w:pStyle w:val="000001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本模块是用于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集中查看、查询、监控和处理所有用户充电订单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的核心后台管理界面。管理员可以在此跟踪订单全生命周期，并对进行中的订单进行实时干预。</w:t>
      </w:r>
    </w:p>
    <w:p>
      <w:pPr>
        <w:pStyle w:val="000001"/>
        <w:rPr>
          <w:rFonts w:hint="eastAsia"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核心操作：</w:t>
      </w:r>
    </w:p>
    <w:p>
      <w:pPr>
        <w:pStyle w:val="000006"/>
        <w:keepNext w:val="0"/>
        <w:keepLines w:val="0"/>
        <w:widowControl w:val="1"/>
        <w:suppressLineNumbers w:val="0"/>
        <w:shd w:val="clear" w:color="auto" w:fill="ffffff"/>
        <w:spacing w:before="240" w:beforeAutospacing="0" w:after="120" w:afterAutospacing="0" w:line="420" w:lineRule="atLeast"/>
        <w:ind w:left="0" w:right="0" w:firstLine="0"/>
        <w:rPr/>
      </w:pPr>
      <w:r>
        <w:rPr>
          <w:rStyle w:val="00000e"/>
          <w:rFonts w:ascii="Segoe UI" w:hAnsi="Segoe UI" w:eastAsia="Segoe UI" w:cs="Segoe UI"/>
          <w:caps w:val="0"/>
          <w:color w:val="0f1115"/>
          <w:spacing w:val="0"/>
          <w:sz w:val="24"/>
          <w:szCs w:val="24"/>
          <w:shd w:val="clear" w:color="auto" w:fill="ffffff"/>
        </w:rPr>
        <w:t>1. 查询与筛选订单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按时间查询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：如需查看某一天的订单，将“开始日期”和“结束日期”选择为同一天。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组合筛选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：通常此页面还隐含其他筛选字段（如按状态、用户手机号、订单号），操作逻辑相同：选择/输入条件 -&gt; 点击【搜索】。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重置与导出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：筛选后如需恢复，点击【重置】。数据确认无误后，可点击【导出】下载。</w:t>
      </w:r>
    </w:p>
    <w:p>
      <w:pPr>
        <w:pStyle w:val="000006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 w:line="420" w:lineRule="atLeast"/>
        <w:ind w:left="0" w:right="0" w:firstLine="0"/>
        <w:rPr>
          <w:rFonts w:ascii="Segoe UI" w:hAnsi="Segoe UI" w:eastAsia="Segoe UI" w:cs="Segoe UI"/>
          <w:b w:val="1"/>
          <w:bCs w:val="1"/>
          <w:caps w:val="0"/>
          <w:color w:val="0f1115"/>
          <w:spacing w:val="0"/>
          <w:sz w:val="24"/>
          <w:szCs w:val="24"/>
        </w:rPr>
      </w:pPr>
      <w:r>
        <w:rPr>
          <w:rStyle w:val="00000e"/>
          <w:rFonts w:ascii="Segoe UI" w:hAnsi="Segoe UI" w:eastAsia="Segoe UI" w:cs="Segoe UI"/>
          <w:caps w:val="0"/>
          <w:color w:val="0f1115"/>
          <w:spacing w:val="0"/>
          <w:sz w:val="24"/>
          <w:szCs w:val="24"/>
          <w:shd w:val="clear" w:color="auto" w:fill="ffffff"/>
        </w:rPr>
        <w:t>2. 监控与处理进行中订单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/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对于状态为 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“进行中”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 的订单，管理员需要重点关注并具备干预能力。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实时监控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：列表实时或定时刷新，显示最新的订单状态和金额。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120" w:afterAutospacing="0"/>
        <w:ind w:left="0" w:right="0"/>
        <w:rPr/>
      </w:pP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 xml:space="preserve">3. 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操作按钮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c00000"/>
          <w:spacing w:val="0"/>
          <w:sz w:val="24"/>
          <w:szCs w:val="24"/>
          <w:shd w:val="clear" w:color="auto" w:fill="ffffff"/>
        </w:rPr>
        <w:t>结束充电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此为最重要的控制功能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。当遇到用户无法自行结束充电（如App故障、通讯中断）、或发生紧急情况时，管理员可主动点击此按钮，远程强制停止充电桩运行，并结束当前订单计费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谨慎使用，误操作可导致用户充电中断，引起用户投诉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账单明细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：点击后，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弹框展示当前充电订单生成的账单详情（用户信息，收入支出类型，消费金额等信息）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c00000"/>
          <w:spacing w:val="0"/>
          <w:sz w:val="24"/>
          <w:szCs w:val="24"/>
          <w:shd w:val="clear" w:color="auto" w:fill="ffffff"/>
          <w:lang w:val="en-US" w:eastAsia="zh-CN"/>
        </w:rPr>
        <w:t>退单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当用户对已完成订单存在疑问，且提供相关证据，证明订单确实存在异常情况，需要退单恢复用户资产的，管理员可操作此按钮，完成退单功能，退回用户资产金额积分等。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c00000"/>
          <w:spacing w:val="0"/>
          <w:sz w:val="24"/>
          <w:szCs w:val="24"/>
          <w:shd w:val="clear" w:color="auto" w:fill="ffffff"/>
          <w:lang w:val="en-US" w:eastAsia="zh-CN"/>
        </w:rPr>
        <w:t>订单结算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当用户资产余额不足，或因网络迟缓等其他原因造成的充电结束单未付款的订单，再保证用户资产充足的情况下，管理员在管理后台可通过点击订单结算为用户结算充电订单。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eastAsia="宋体"/>
          <w:lang w:val="en-US" w:eastAsia="zh-CN"/>
        </w:rPr>
      </w:pP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充电上报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详细记录用户本币充电订单的详细充电过程，记录充电电量以及费用。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37" style="mso-position-horizontal-relative:page;mso-position-vertical-relative:page;width:385.152pt;height:182.103pt;" o:bordertopcolor="auto" o:borderleftcolor="auto" o:borderbottomcolor="auto" o:borderrightcolor="auto" type="#_x0000_t75">
            <v:imagedata o:title="" r:id="rId15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1.3.3账单明细</w:t>
      </w:r>
    </w:p>
    <w:p>
      <w:pPr>
        <w:pStyle w:val="000001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“账单明细”模块是平台运营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明细核查</w:t>
      </w: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用户资金流向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的核心页面。它将用户的消费记录（充电订单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充值记录，后台调账等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）进行聚合和分类展示，清晰地呈现每一笔收入的来源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与支出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、构成和关联用户，方便进行收入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支出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核销。</w:t>
      </w:r>
    </w:p>
    <w:p>
      <w:pPr>
        <w:pStyle w:val="000001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</w:p>
    <w:p>
      <w:pPr>
        <w:pStyle w:val="000001"/>
        <w:rPr>
          <w:rStyle w:val="Strong"/>
          <w:rFonts w:hint="eastAsia"/>
          <w:lang w:val="en-US" w:eastAsia="zh-CN"/>
        </w:rPr>
      </w:pPr>
      <w:r>
        <w:rPr>
          <w:rStyle w:val="00000e"/>
          <w:rFonts w:hint="eastAsia"/>
          <w:lang w:val="en-US" w:eastAsia="zh-CN"/>
        </w:rPr>
        <w:t>主要功能：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强大的多维筛选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导出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功能，用于精准定位目标账单记录。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38" style="mso-position-horizontal-relative:page;mso-position-vertical-relative:page;width:414.444pt;height:107.294pt;" o:bordertopcolor="auto" o:borderleftcolor="auto" o:borderbottomcolor="auto" o:borderrightcolor="auto" type="#_x0000_t75">
            <v:imagedata o:title="" r:id="rId16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1.3.4发票管理</w:t>
      </w:r>
    </w:p>
    <w:p>
      <w:pPr>
        <w:pStyle w:val="000001"/>
        <w:rPr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“发票管理”模块是平台处理用户发票申请、进行开票审核、管理发票信息和执行开票操作的核心后台。它连接了用户消费（订单/账单）与合规财税流程，确保发票开具的准确性、及时性和可追溯性。</w:t>
      </w:r>
    </w:p>
    <w:p>
      <w:pPr>
        <w:pStyle w:val="000006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 w:line="420" w:lineRule="atLeast"/>
        <w:ind w:left="0" w:right="0" w:firstLine="0"/>
        <w:rPr>
          <w:rFonts w:ascii="Segoe UI" w:hAnsi="Segoe UI" w:eastAsia="Segoe UI" w:cs="Segoe UI"/>
          <w:b w:val="1"/>
          <w:bCs w:val="1"/>
          <w:caps w:val="0"/>
          <w:color w:val="0f1115"/>
          <w:spacing w:val="0"/>
          <w:sz w:val="24"/>
          <w:szCs w:val="24"/>
        </w:rPr>
      </w:pPr>
      <w:r>
        <w:rPr>
          <w:rStyle w:val="00000e"/>
          <w:rFonts w:ascii="Segoe UI" w:hAnsi="Segoe UI" w:eastAsia="Segoe UI" w:cs="Segoe UI"/>
          <w:caps w:val="0"/>
          <w:color w:val="0f1115"/>
          <w:spacing w:val="0"/>
          <w:sz w:val="24"/>
          <w:szCs w:val="24"/>
          <w:shd w:val="clear" w:color="auto" w:fill="ffffff"/>
        </w:rPr>
        <w:t>1.筛选与查询申请单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/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管理员日常根据工作流进行筛选：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处理待办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：在【状态】中选择 </w:t>
      </w:r>
      <w:r>
        <w:rPr>
          <w:rStyle w:val="000010"/>
          <w:rFonts w:ascii="Consolas" w:hAnsi="Consolas" w:eastAsia="Consolas" w:cs="Consolas"/>
          <w:i w:val="0"/>
          <w:iCs w:val="0"/>
          <w:caps w:val="0"/>
          <w:color w:val="0f1115"/>
          <w:spacing w:val="0"/>
          <w:sz w:val="18"/>
          <w:szCs w:val="18"/>
          <w:shd w:val="clear" w:color="auto" w:fill="ebeef2"/>
        </w:rPr>
        <w:t>待审核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 或 </w:t>
      </w:r>
      <w:r>
        <w:rPr>
          <w:rStyle w:val="000010"/>
          <w:rFonts w:ascii="Consolas" w:hAnsi="Consolas" w:eastAsia="Consolas" w:cs="Consolas"/>
          <w:i w:val="0"/>
          <w:iCs w:val="0"/>
          <w:caps w:val="0"/>
          <w:color w:val="0f1115"/>
          <w:spacing w:val="0"/>
          <w:sz w:val="18"/>
          <w:szCs w:val="18"/>
          <w:shd w:val="clear" w:color="auto" w:fill="ebeef2"/>
        </w:rPr>
        <w:t>开票中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，集中处理新申请。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查找记录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：当用户或财务咨询某张发票时，使用【手机号】、【发票抬头】或【用户昵称】进行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模糊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查询。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39" style="mso-position-horizontal-relative:page;mso-position-vertical-relative:page;width:386.644pt;height:111.494pt;" o:bordertopcolor="auto" o:borderleftcolor="auto" o:borderbottomcolor="auto" o:borderrightcolor="auto" type="#_x0000_t75">
            <v:imagedata o:title="" r:id="rId17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hint="eastAsia"/>
          <w:lang w:val="en-US" w:eastAsia="zh-CN"/>
        </w:rPr>
      </w:pPr>
      <w:r>
        <w:rPr>
          <w:rStyle w:val="00000e"/>
          <w:rFonts w:hint="eastAsia"/>
          <w:lang w:val="en-US" w:eastAsia="zh-CN"/>
        </w:rPr>
        <w:t>查看订单：</w:t>
      </w:r>
      <w:r>
        <w:rPr>
          <w:rFonts w:hint="eastAsia"/>
          <w:lang w:val="en-US" w:eastAsia="zh-CN"/>
        </w:rPr>
        <w:t>查看本次开票的订单信息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40" style="mso-position-horizontal-relative:page;mso-position-vertical-relative:page;width:415.11pt;height:59.4385pt;" o:bordertopcolor="auto" o:borderleftcolor="auto" o:borderbottomcolor="auto" o:borderrightcolor="auto" type="#_x0000_t75">
            <v:imagedata o:title="" r:id="rId18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</w:p>
    <w:p>
      <w:pPr>
        <w:pStyle w:val="000006"/>
        <w:bidi w:val="0"/>
        <w:rPr/>
      </w:pPr>
      <w:r>
        <w:rPr>
          <w:rFonts w:hint="eastAsia"/>
          <w:lang w:val="en-US" w:eastAsia="zh-CN"/>
        </w:rPr>
        <w:t>2.</w:t>
      </w:r>
      <w:r>
        <w:rPr/>
        <w:t>执行开票操作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/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对于状态为 </w:t>
      </w:r>
      <w:r>
        <w:rPr>
          <w:rStyle w:val="000010"/>
          <w:rFonts w:ascii="Consolas" w:hAnsi="Consolas" w:eastAsia="Consolas" w:cs="Consolas"/>
          <w:i w:val="0"/>
          <w:iCs w:val="0"/>
          <w:caps w:val="0"/>
          <w:color w:val="0f1115"/>
          <w:spacing w:val="0"/>
          <w:sz w:val="18"/>
          <w:szCs w:val="18"/>
          <w:shd w:val="clear" w:color="auto" w:fill="ebeef2"/>
        </w:rPr>
        <w:t>开票中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 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的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申请：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核对开票信息后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在 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“操作”列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 点击 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“上传发票”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120" w:afterAutospacing="0"/>
        <w:ind w:left="0" w:right="0"/>
        <w:rPr/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在弹出的窗口中，填写或确认从税控系统开具的发票信息：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发票号码</w:t>
      </w: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、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发票代码</w:t>
      </w: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上传发票pdf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点击确认。系统状态自动更新为 </w:t>
      </w:r>
      <w:r>
        <w:rPr>
          <w:rStyle w:val="000010"/>
          <w:rFonts w:ascii="Consolas" w:hAnsi="Consolas" w:eastAsia="Consolas" w:cs="Consolas"/>
          <w:i w:val="0"/>
          <w:iCs w:val="0"/>
          <w:caps w:val="0"/>
          <w:color w:val="0f1115"/>
          <w:spacing w:val="0"/>
          <w:sz w:val="18"/>
          <w:szCs w:val="18"/>
          <w:shd w:val="clear" w:color="auto" w:fill="ebeef2"/>
        </w:rPr>
        <w:t>已开票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41" style="mso-position-horizontal-relative:page;mso-position-vertical-relative:page;width:415.299pt;height:185.955pt;" o:bordertopcolor="auto" o:borderleftcolor="auto" o:borderbottomcolor="auto" o:borderrightcolor="auto" type="#_x0000_t75">
            <v:imagedata o:title="" r:id="rId19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6"/>
        <w:numPr>
          <w:ilvl w:val="0"/>
          <w:numId w:val="3"/>
        </w:numPr>
        <w:tabs>
          <w:tab w:val="clear" w:pos="312"/>
        </w:tabs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拒绝开票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对于状态为 </w:t>
      </w:r>
      <w:r>
        <w:rPr>
          <w:rStyle w:val="000010"/>
          <w:rFonts w:ascii="Consolas" w:hAnsi="Consolas" w:eastAsia="Consolas" w:cs="Consolas"/>
          <w:i w:val="0"/>
          <w:iCs w:val="0"/>
          <w:caps w:val="0"/>
          <w:color w:val="0f1115"/>
          <w:spacing w:val="0"/>
          <w:sz w:val="18"/>
          <w:szCs w:val="18"/>
          <w:shd w:val="clear" w:color="auto" w:fill="ebeef2"/>
        </w:rPr>
        <w:t>开票中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 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的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申请：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核对开票信息与订单金额等信息存在问题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“操作”列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 点击 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“</w:t>
      </w: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拒绝开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票”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。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输入拒绝开票原因，状态变为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 </w:t>
      </w:r>
      <w:r>
        <w:rPr>
          <w:rStyle w:val="000010"/>
          <w:rFonts w:hint="eastAsia" w:ascii="Consolas" w:hAnsi="Consolas" w:cs="Consolas"/>
          <w:i w:val="0"/>
          <w:iCs w:val="0"/>
          <w:caps w:val="0"/>
          <w:color w:val="0f1115"/>
          <w:spacing w:val="0"/>
          <w:sz w:val="18"/>
          <w:szCs w:val="18"/>
          <w:shd w:val="clear" w:color="auto" w:fill="ebeef2"/>
          <w:lang w:val="en-US" w:eastAsia="zh-CN"/>
        </w:rPr>
        <w:t>已拒绝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。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用户可在小程序端重开发票。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42" style="mso-position-horizontal-relative:page;mso-position-vertical-relative:page;width:415.052pt;height:127.502pt;" o:bordertopcolor="auto" o:borderleftcolor="auto" o:borderbottomcolor="auto" o:borderrightcolor="auto" type="#_x0000_t75">
            <v:imagedata o:title="" r:id="rId20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6"/>
        <w:bidi w:val="0"/>
        <w:rPr/>
      </w:pPr>
      <w:r>
        <w:rPr>
          <w:rFonts w:hint="eastAsia"/>
          <w:lang w:val="en-US" w:eastAsia="zh-CN"/>
        </w:rPr>
        <w:t>4.</w:t>
      </w:r>
      <w:r>
        <w:rPr/>
        <w:t>注意事项与最佳实践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严格审核信息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：企业发票的“抬头”和“税号”一字一符都不能错，否则发票无效，重开会带来税务风险。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关注时效性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：留意待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开票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的申请单，确保在规定时间内（如24小时）处理，提升用户体验。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信息安全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：导出的数据包含用户敏感信息（手机号、税号），需妥善保管，防止泄露。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定期对账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：定期使用【导出】功能，将平台开票记录与财务账面收入、税务申报数据进行三方核对。</w:t>
      </w:r>
    </w:p>
    <w:p>
      <w:pPr>
        <w:pStyle w:val="00000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1.4充电管理</w: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1.4.1功能描述</w:t>
      </w:r>
    </w:p>
    <w:p>
      <w:pPr>
        <w:pStyle w:val="000001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充电设施与计费体系的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基础设施配置中心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，是所有充电服务得以运行的技术与规则基石。通过对此模块下各子功能的管理，实现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充电站的部署上线、设备的远程监控、服务价格的灵活制定以及计费规则的统一执行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。</w: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1.4.2电站管理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对线下充电场站进行线上化建模和管理，是充电网络的地图与档案库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电站管理模块用于对充电站进行全面管理，包括：电站信息维护、状态监控、计费配置等核心功能。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Style w:val="000007"/>
          <w:rFonts w:hint="eastAsia"/>
          <w:lang w:val="en-US" w:eastAsia="zh-CN"/>
        </w:rPr>
        <w:t>列表查询：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支持多条件筛选查询电站信息，快速定位具体电站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Style w:val="000007"/>
          <w:rFonts w:hint="eastAsia"/>
          <w:lang w:val="en-US" w:eastAsia="zh-CN"/>
        </w:rPr>
        <w:t>新增修改电站信息：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电站基本信息添加，经纬度（为小程序端用户推荐附近电站及导航），选择对应的计费模板，如电站</w:t>
      </w:r>
      <w:r>
        <w:rPr>
          <w:rStyle w:val="00000e"/>
          <w:rFonts w:hint="eastAsia"/>
          <w:lang w:val="en-US" w:eastAsia="zh-CN"/>
        </w:rPr>
        <w:t>有投资人，需要关联投资人信息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，以便于后期分账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43" style="mso-position-horizontal-relative:page;mso-position-vertical-relative:page;width:315.456pt;height:541.446pt;" o:bordertopcolor="auto" o:borderleftcolor="auto" o:borderbottomcolor="auto" o:borderrightcolor="auto" type="#_x0000_t75">
            <v:imagedata o:title="" r:id="rId21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br w:type="textWrapping" w:clear="all"/>
      </w:r>
      <w:r>
        <w:rPr>
          <w:rStyle w:val="00000e"/>
          <w:rFonts w:hint="eastAsia"/>
          <w:lang w:val="en-US" w:eastAsia="zh-CN"/>
        </w:rPr>
        <w:t>计费模板：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点击按钮可查看当前电站的具体计费信息（</w:t>
      </w:r>
      <w:r>
        <w:rPr>
          <w:rStyle w:val="00000e"/>
          <w:rFonts w:hint="eastAsia"/>
          <w:lang w:val="en-US" w:eastAsia="zh-CN"/>
        </w:rPr>
        <w:t>实际充电根据电桩计费模板走，电桩没有选定计费模板的情况下，根据电站计费你模板计算电费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）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44" style="mso-position-horizontal-relative:page;mso-position-vertical-relative:page;width:414.607pt;height:62.9592pt;" o:bordertopcolor="auto" o:borderleftcolor="auto" o:borderbottomcolor="auto" o:borderrightcolor="auto" type="#_x0000_t75">
            <v:imagedata o:title="" r:id="rId22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rPr>
          <w:rFonts w:hint="eastAsia"/>
          <w:lang w:val="en-US" w:eastAsia="zh-CN"/>
        </w:rPr>
      </w:pPr>
      <w:r>
        <w:rPr>
          <w:rStyle w:val="00000e"/>
          <w:rFonts w:hint="eastAsia"/>
          <w:lang w:val="en-US" w:eastAsia="zh-CN"/>
        </w:rPr>
        <w:t>删除/导出：</w:t>
      </w:r>
      <w:r>
        <w:rPr>
          <w:rFonts w:hint="eastAsia"/>
          <w:lang w:val="en-US" w:eastAsia="zh-CN"/>
        </w:rPr>
        <w:t>删除/导出电站信息</w:t>
      </w:r>
    </w:p>
    <w:p>
      <w:pPr>
        <w:pStyle w:val="000005"/>
        <w:bidi w:val="0"/>
        <w:rPr>
          <w:lang w:val="en-US" w:eastAsia="zh-CN"/>
        </w:rPr>
      </w:pPr>
      <w:r>
        <w:rPr>
          <w:rFonts w:hint="eastAsia"/>
          <w:lang w:val="en-US" w:eastAsia="zh-CN"/>
        </w:rPr>
        <w:t>1.4.3电桩管理</w:t>
      </w:r>
    </w:p>
    <w:p>
      <w:pPr>
        <w:pStyle w:val="000001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“电桩管理”模块是充电运营后台对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物理充电设备（充电桩）进行精细化管理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的核心页面。管理员在此完成充电桩的录入、信息维护、状态监控和远程操作，确保每个充电终端设备可被系统识别、监控并正常提供服务。</w:t>
      </w:r>
    </w:p>
    <w:p>
      <w:pPr>
        <w:pStyle w:val="000006"/>
        <w:bidi w:val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Style w:val="00000e"/>
          <w:rFonts w:hint="eastAsia"/>
          <w:lang w:val="en-US" w:eastAsia="zh-CN"/>
        </w:rPr>
        <w:t>1.列表查询：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用于快速定位目标充电桩。</w:t>
      </w:r>
    </w:p>
    <w:p>
      <w:pPr>
        <w:pStyle w:val="000001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45" style="mso-position-horizontal-relative:page;mso-position-vertical-relative:page;width:415.2pt;height:122.094pt;" o:bordertopcolor="auto" o:borderleftcolor="auto" o:borderbottomcolor="auto" o:borderrightcolor="auto" type="#_x0000_t75">
            <v:imagedata o:title="" r:id="rId23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6"/>
        <w:bidi w:val="0"/>
        <w:rPr>
          <w:rStyle w:val="Strong"/>
          <w:lang w:val="en-US" w:eastAsia="zh-CN"/>
        </w:rPr>
      </w:pPr>
      <w:r>
        <w:rPr>
          <w:rStyle w:val="00000e"/>
          <w:rFonts w:hint="eastAsia"/>
          <w:lang w:val="en-US" w:eastAsia="zh-CN"/>
        </w:rPr>
        <w:t>2.设备录入：</w:t>
      </w:r>
      <w:r>
        <w:rPr>
          <w:rFonts w:hint="eastAsia"/>
          <w:lang w:val="en-US" w:eastAsia="zh-CN"/>
        </w:rPr>
        <w:t>新增/批量新增/导入电桩设备，会同时</w:t>
      </w:r>
      <w:r>
        <w:rPr>
          <w:rStyle w:val="00000e"/>
          <w:rFonts w:hint="eastAsia"/>
          <w:lang w:val="en-US" w:eastAsia="zh-CN"/>
        </w:rPr>
        <w:t>生成设备电枪信息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【新增】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：进入表单页面，手动创建并录入一台新的充电桩设备。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46" style="mso-position-horizontal-relative:page;mso-position-vertical-relative:page;width:303.794pt;height:237.401pt;" o:bordertopcolor="auto" o:borderleftcolor="auto" o:borderbottomcolor="auto" o:borderrightcolor="auto" type="#_x0000_t75">
            <v:imagedata o:title="" r:id="rId24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【批量新增】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进入表单页面，确认桩编码前几位固定参数后，选择新增桩的数量，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一次性批量录入多台设备。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47" style="mso-position-horizontal-relative:page;mso-position-vertical-relative:page;width:415.115pt;height:268.047pt;" o:bordertopcolor="auto" o:borderleftcolor="auto" o:borderbottomcolor="auto" o:borderrightcolor="auto" type="#_x0000_t75">
            <v:imagedata o:title="" r:id="rId25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【导入】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：通过下载模板、填写Excel表格、再上传的方式，一次性批量录入多台设备。用于批量更新设备信息或通过文件方式补录设备。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48" style="mso-position-horizontal-relative:page;mso-position-vertical-relative:page;width:123.989pt;height:90.2974pt;" o:bordertopcolor="auto" o:borderleftcolor="auto" o:borderbottomcolor="auto" o:borderrightcolor="auto" type="#_x0000_t75">
            <v:imagedata o:title="" r:id="rId26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</w:p>
    <w:p>
      <w:pPr>
        <w:pStyle w:val="000006"/>
        <w:bidi w:val="0"/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Style w:val="00000e"/>
          <w:rFonts w:hint="eastAsia"/>
          <w:lang w:val="en-US" w:eastAsia="zh-CN"/>
        </w:rPr>
        <w:t>3.设备信息与维护：</w:t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编辑、删除、远程重启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【</w:t>
      </w: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编辑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】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：进入表单页面，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手动修改电桩设备基本信息，同步修改电枪信息，并完成电桩信息同步功能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49" style="mso-position-horizontal-relative:page;mso-position-vertical-relative:page;width:186.697pt;height:146.402pt;" o:bordertopcolor="auto" o:borderleftcolor="auto" o:borderbottomcolor="auto" o:borderrightcolor="auto" type="#_x0000_t75">
            <v:imagedata o:title="" r:id="rId27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【</w:t>
      </w: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删除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】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删除电桩信息，桩下电枪一同删除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【</w:t>
      </w: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c00000"/>
          <w:spacing w:val="0"/>
          <w:sz w:val="24"/>
          <w:szCs w:val="24"/>
          <w:shd w:val="clear" w:color="auto" w:fill="ffffff"/>
          <w:lang w:val="en-US" w:eastAsia="zh-CN"/>
        </w:rPr>
        <w:t>远程重启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】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：充电桩（或电枪）发生软件卡死、通信异常、无响应等“软性”故障时，管理员无需抵达现场，通过运营后台远程发送重启指令，使设备恢复正常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Style w:val="Strong"/>
          <w:rFonts w:ascii="Segoe UI" w:hAnsi="Segoe UI" w:eastAsia="宋体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工作状态。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大幅提升运维效率，降低现场出勤成本，快速恢复服务，减少用户投诉。</w:t>
      </w: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谨慎操作，服务在线情况下执行远程重启，会对正在充电中断充电引起投诉。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50" style="mso-position-horizontal-relative:page;mso-position-vertical-relative:page;width:414.155pt;height:102.403pt;" o:bordertopcolor="auto" o:borderleftcolor="auto" o:borderbottomcolor="auto" o:borderrightcolor="auto" type="#_x0000_t75">
            <v:imagedata o:title="" r:id="rId28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1.4.4电枪管理</w:t>
      </w:r>
    </w:p>
    <w:p>
      <w:pPr>
        <w:pStyle w:val="000001"/>
        <w:rPr>
          <w:rStyle w:val="NormalCharacter"/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Style w:val="000009"/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“电枪管理”模块是</w:t>
      </w:r>
      <w:r>
        <w:rPr>
          <w:rStyle w:val="00000e"/>
          <w:lang w:val="en-US" w:eastAsia="zh-CN"/>
        </w:rPr>
        <w:t> “充电桩” 的下一级精细化管理单元</w:t>
      </w:r>
      <w:r>
        <w:rPr>
          <w:rStyle w:val="000009"/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。一个充电桩（主机）通常包含1-2个或更多的物理充电枪接口。此模块用于对每一个独立的 充电枪 进行</w:t>
      </w:r>
      <w:r>
        <w:rPr>
          <w:rStyle w:val="000009"/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数据监控、</w:t>
      </w:r>
      <w:r>
        <w:rPr>
          <w:rStyle w:val="000009"/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状态监控和独立操作，是实现“一桩多枪”独立管理和精准服务的关键</w:t>
      </w:r>
      <w:r>
        <w:rPr>
          <w:rStyle w:val="000009"/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。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Style w:val="00000e"/>
          <w:rFonts w:hint="eastAsia"/>
          <w:lang w:val="en-US" w:eastAsia="zh-CN"/>
        </w:rPr>
        <w:t>列表查询：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用于从众多电枪中快速定位目标。使用【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状态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】、【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电桩编码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】或【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电枪编码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】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等模糊匹配定位信息。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51" style="mso-position-horizontal-relative:page;mso-position-vertical-relative:page;width:415.145pt;height:80.4568pt;" o:bordertopcolor="auto" o:borderleftcolor="auto" o:borderbottomcolor="auto" o:borderrightcolor="auto" type="#_x0000_t75">
            <v:imagedata o:title="" r:id="rId29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d"/>
        <w:keepNext w:val="0"/>
        <w:keepLines w:val="0"/>
        <w:pageBreakBefore w:val="0"/>
        <w:widowControl w:val="1"/>
        <w:suppressLineNumbers w:val="0"/>
        <w:shd w:val="clear" w:color="auto" w:fill="ffffff"/>
        <w:kinsoku w:val="1"/>
        <w:wordWrap w:val="1"/>
        <w:overflowPunct w:val="1"/>
        <w:topLinePunct w:val="0"/>
        <w:autoSpaceDE w:val="1"/>
        <w:autoSpaceDN w:val="1"/>
        <w:bidi w:val="0"/>
        <w:spacing w:before="240" w:beforeAutospacing="0" w:after="240" w:afterAutospacing="0" w:line="192" w:lineRule="auto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Style w:val="00000e"/>
          <w:rFonts w:hint="eastAsia"/>
          <w:lang w:val="en-US" w:eastAsia="zh-CN"/>
        </w:rPr>
        <w:t>释放电枪：</w:t>
      </w:r>
      <w:r>
        <w:rPr>
          <w:rStyle w:val="000009"/>
        </w:rPr>
        <w:t>当充电枪因系统逻辑错误、网络异常或用户端故障，被异常锁定在 “占用中”、“充电中” 或 “预约锁定” 状态，导致其他用户无法使用时，管理员通过此功能远程清除枪端的错误状态，将其恢复为 “空闲” 可用状态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。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52" style="mso-position-horizontal-relative:page;mso-position-vertical-relative:page;width:356.354pt;height:78.7959pt;" o:bordertopcolor="auto" o:borderleftcolor="auto" o:borderbottomcolor="auto" o:borderrightcolor="auto" type="#_x0000_t75">
            <v:imagedata o:title="" r:id="rId30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1.4.5基础电价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Style w:val="NormalCharacter"/>
        </w:rPr>
      </w:pPr>
      <w:r>
        <w:rPr>
          <w:rStyle w:val="000009"/>
        </w:rPr>
        <w:t>电力成本管理中心</w:t>
      </w:r>
      <w:r>
        <w:rPr>
          <w:rStyle w:val="000009"/>
          <w:rFonts w:hint="eastAsia"/>
          <w:lang w:eastAsia="zh-CN"/>
        </w:rPr>
        <w:t>（</w:t>
      </w:r>
      <w:r>
        <w:rPr>
          <w:rStyle w:val="000009"/>
          <w:rFonts w:hint="eastAsia"/>
          <w:b w:val="1"/>
          <w:bCs w:val="1"/>
          <w:color w:val="c00000"/>
          <w:lang w:val="en-US" w:eastAsia="zh-CN"/>
        </w:rPr>
        <w:t>计费模板的核心部分</w:t>
      </w:r>
      <w:r>
        <w:rPr>
          <w:rStyle w:val="000009"/>
          <w:rFonts w:hint="eastAsia"/>
          <w:lang w:eastAsia="zh-CN"/>
        </w:rPr>
        <w:t>）</w:t>
      </w:r>
      <w:r>
        <w:rPr>
          <w:rStyle w:val="000009"/>
        </w:rPr>
        <w:t>。此模块定义的是平台采购电力的 </w:t>
      </w:r>
      <w:r>
        <w:rPr>
          <w:rStyle w:val="00000e"/>
        </w:rPr>
        <w:t>成本价格</w:t>
      </w:r>
      <w:r>
        <w:rPr>
          <w:rStyle w:val="000009"/>
        </w:rPr>
        <w:t>，是构成最终用户售价的 </w:t>
      </w:r>
      <w:r>
        <w:rPr>
          <w:rStyle w:val="00000e"/>
        </w:rPr>
        <w:t>基础组成部分</w:t>
      </w:r>
      <w:r>
        <w:rPr>
          <w:rStyle w:val="000009"/>
        </w:rPr>
        <w:t>。它不是用户最终支付的价格。用户支付价 = 基础电价 + 服务费 + 其他费用。</w:t>
      </w:r>
    </w:p>
    <w:p>
      <w:pPr>
        <w:pStyle w:val="000006"/>
        <w:keepNext w:val="0"/>
        <w:keepLines w:val="0"/>
        <w:widowControl w:val="1"/>
        <w:suppressLineNumbers w:val="0"/>
        <w:shd w:val="clear" w:color="auto" w:fill="ffffff"/>
        <w:spacing w:before="240" w:beforeAutospacing="0" w:after="120" w:afterAutospacing="0" w:line="420" w:lineRule="atLeast"/>
        <w:ind w:left="0" w:right="0" w:firstLine="0"/>
        <w:rPr/>
      </w:pPr>
      <w:r>
        <w:rPr>
          <w:rStyle w:val="00000e"/>
          <w:rFonts w:ascii="Segoe UI" w:hAnsi="Segoe UI" w:eastAsia="Segoe UI" w:cs="Segoe UI"/>
          <w:caps w:val="0"/>
          <w:color w:val="0f1115"/>
          <w:spacing w:val="0"/>
          <w:sz w:val="24"/>
          <w:szCs w:val="24"/>
          <w:shd w:val="clear" w:color="auto" w:fill="ffffff"/>
        </w:rPr>
        <w:t>1. 新增基础电价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点击顶部 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【新增】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 按钮，进入创建页面。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12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填写表单关键项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120" w:afterAutospacing="0"/>
        <w:ind w:left="0" w:right="0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53" style="mso-position-horizontal-relative:page;mso-position-vertical-relative:page;width:322.795pt;height:133.489pt;" o:bordertopcolor="auto" o:borderleftcolor="auto" o:borderbottomcolor="auto" o:borderrightcolor="auto" type="#_x0000_t75">
            <v:imagedata o:title="" r:id="rId31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6"/>
        <w:keepNext w:val="0"/>
        <w:keepLines w:val="0"/>
        <w:widowControl w:val="1"/>
        <w:suppressLineNumbers w:val="0"/>
        <w:shd w:val="clear" w:color="auto" w:fill="ffffff"/>
        <w:spacing w:before="240" w:beforeAutospacing="0" w:after="120" w:afterAutospacing="0" w:line="420" w:lineRule="atLeast"/>
        <w:ind w:left="0" w:right="0" w:firstLine="0"/>
        <w:rPr/>
      </w:pPr>
      <w:r>
        <w:rPr>
          <w:rStyle w:val="00000e"/>
          <w:rFonts w:ascii="Segoe UI" w:hAnsi="Segoe UI" w:eastAsia="Segoe UI" w:cs="Segoe UI"/>
          <w:caps w:val="0"/>
          <w:color w:val="0f1115"/>
          <w:spacing w:val="0"/>
          <w:sz w:val="24"/>
          <w:szCs w:val="24"/>
          <w:shd w:val="clear" w:color="auto" w:fill="ffffff"/>
        </w:rPr>
        <w:t>2. 编辑与维护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Style w:val="NormalCharacter"/>
        </w:rPr>
      </w:pPr>
      <w:r>
        <w:rPr>
          <w:rStyle w:val="000009"/>
        </w:rPr>
        <w:t>当电力采购成本发生变化时（如电网调价），需要 </w:t>
      </w:r>
      <w:r>
        <w:rPr>
          <w:rStyle w:val="00000e"/>
        </w:rPr>
        <w:t>编辑</w:t>
      </w:r>
      <w:r>
        <w:rPr>
          <w:rStyle w:val="000009"/>
        </w:rPr>
        <w:t> 现有电价方案或新增一个</w:t>
      </w:r>
      <w:r>
        <w:rPr>
          <w:rStyle w:val="00000e"/>
        </w:rPr>
        <w:t>新版本</w:t>
      </w:r>
      <w:r>
        <w:rPr>
          <w:rStyle w:val="000009"/>
        </w:rPr>
        <w:t>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Style w:val="Strong"/>
        </w:rPr>
      </w:pPr>
      <w:r>
        <w:rPr>
          <w:rStyle w:val="00000e"/>
        </w:rPr>
        <w:t>注意：</w:t>
      </w:r>
      <w:r>
        <w:rPr>
          <w:rStyle w:val="000009"/>
        </w:rPr>
        <w:t>直接编辑一个已被“计费模板”引用的电价方案会影响所有使用该电价的模板，进而影响用户价格。建议的操作是：</w:t>
      </w:r>
      <w:r>
        <w:rPr>
          <w:rStyle w:val="00000e"/>
        </w:rPr>
        <w:t>创建新版本电价，然后在相关“计费模板”中更新引用。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Style w:val="Strong"/>
        </w:rPr>
      </w:pP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Style w:val="Strong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54" style="mso-position-horizontal-relative:page;mso-position-vertical-relative:page;width:351.313pt;height:143.76pt;" o:bordertopcolor="auto" o:borderleftcolor="auto" o:borderbottomcolor="auto" o:borderrightcolor="auto" type="#_x0000_t75">
            <v:imagedata o:title="" r:id="rId32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6"/>
        <w:keepNext w:val="0"/>
        <w:keepLines w:val="0"/>
        <w:widowControl w:val="1"/>
        <w:suppressLineNumbers w:val="0"/>
        <w:shd w:val="clear" w:color="auto" w:fill="ffffff"/>
        <w:spacing w:before="240" w:beforeAutospacing="0" w:after="120" w:afterAutospacing="0" w:line="420" w:lineRule="atLeast"/>
        <w:ind w:left="0" w:right="0" w:firstLine="0"/>
        <w:rPr/>
      </w:pPr>
      <w:r>
        <w:rPr>
          <w:rStyle w:val="00000e"/>
          <w:rFonts w:ascii="Segoe UI" w:hAnsi="Segoe UI" w:eastAsia="Segoe UI" w:cs="Segoe UI"/>
          <w:caps w:val="0"/>
          <w:color w:val="0f1115"/>
          <w:spacing w:val="0"/>
          <w:sz w:val="24"/>
          <w:szCs w:val="24"/>
          <w:shd w:val="clear" w:color="auto" w:fill="ffffff"/>
        </w:rPr>
        <w:t>3. 删除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Style w:val="NormalCharacter"/>
        </w:rPr>
      </w:pPr>
      <w:r>
        <w:rPr>
          <w:rStyle w:val="000009"/>
        </w:rPr>
        <w:t>对于未被任何“计费模板”引用的废弃电价方案，可以删除。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Style w:val="NormalCharacter"/>
        </w:rPr>
      </w:pPr>
      <w:r>
        <w:rPr>
          <w:rStyle w:val="000009"/>
        </w:rPr>
        <w:t>对于正在被引用的方案，</w:t>
      </w:r>
      <w:r>
        <w:rPr>
          <w:rStyle w:val="00000e"/>
        </w:rPr>
        <w:t>禁止删除</w:t>
      </w:r>
      <w:r>
        <w:rPr>
          <w:rStyle w:val="000009"/>
        </w:rPr>
        <w:t>，系统应给出提示：“该电价正在被计费模板【XXX】使用，无法删除”。</w:t>
      </w:r>
    </w:p>
    <w:p>
      <w:pPr>
        <w:pStyle w:val="000001"/>
        <w:keepNext w:val="0"/>
        <w:keepLines w:val="0"/>
        <w:widowControl w:val="1"/>
        <w:numPr>
          <w:ilvl w:val="0"/>
          <w:numId w:val="0"/>
        </w:numPr>
        <w:suppressLineNumbers w:val="0"/>
        <w:spacing w:before="90" w:beforeAutospacing="0" w:after="100" w:afterAutospacing="1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55" style="mso-position-horizontal-relative:page;mso-position-vertical-relative:page;width:414.207pt;height:34.9566pt;" o:bordertopcolor="auto" o:borderleftcolor="auto" o:borderbottomcolor="auto" o:borderrightcolor="auto" type="#_x0000_t75">
            <v:imagedata o:title="" r:id="rId33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1.4.6计费模板</w:t>
      </w:r>
    </w:p>
    <w:p>
      <w:pPr>
        <w:pStyle w:val="000001"/>
        <w:rPr>
          <w:rStyle w:val="NormalCharacter"/>
          <w:sz w:val="24"/>
          <w:szCs w:val="24"/>
        </w:rPr>
      </w:pPr>
      <w:r>
        <w:rPr>
          <w:rStyle w:val="000009"/>
          <w:sz w:val="24"/>
          <w:szCs w:val="24"/>
        </w:rPr>
        <w:t>充电服务的“</w:t>
      </w:r>
      <w:r>
        <w:rPr>
          <w:rStyle w:val="00000e"/>
          <w:sz w:val="24"/>
          <w:szCs w:val="24"/>
        </w:rPr>
        <w:t>定价策略引擎</w:t>
      </w:r>
      <w:r>
        <w:rPr>
          <w:rStyle w:val="000009"/>
          <w:sz w:val="24"/>
          <w:szCs w:val="24"/>
        </w:rPr>
        <w:t>”。它将“基础电价”（成本）与“服务费”（利润）及附加规则相结合，封装成可灵活应用于不同场站、不同时段或不同用户群体的 </w:t>
      </w:r>
      <w:r>
        <w:rPr>
          <w:rStyle w:val="00000e"/>
          <w:sz w:val="24"/>
          <w:szCs w:val="24"/>
        </w:rPr>
        <w:t>最终收费规则</w:t>
      </w:r>
      <w:r>
        <w:rPr>
          <w:rStyle w:val="000009"/>
          <w:sz w:val="24"/>
          <w:szCs w:val="24"/>
        </w:rPr>
        <w:t>。</w:t>
      </w:r>
    </w:p>
    <w:p>
      <w:pPr>
        <w:pStyle w:val="000006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 w:line="420" w:lineRule="atLeast"/>
        <w:ind w:left="0" w:right="0" w:firstLine="0"/>
        <w:rPr>
          <w:rFonts w:ascii="Segoe UI" w:hAnsi="Segoe UI" w:eastAsia="Segoe UI" w:cs="Segoe UI"/>
          <w:b w:val="1"/>
          <w:bCs w:val="1"/>
          <w:caps w:val="0"/>
          <w:color w:val="0f1115"/>
          <w:spacing w:val="0"/>
          <w:sz w:val="24"/>
          <w:szCs w:val="24"/>
        </w:rPr>
      </w:pPr>
      <w:r>
        <w:rPr>
          <w:rStyle w:val="00000e"/>
          <w:rFonts w:ascii="Segoe UI" w:hAnsi="Segoe UI" w:eastAsia="Segoe UI" w:cs="Segoe UI"/>
          <w:caps w:val="0"/>
          <w:color w:val="0f1115"/>
          <w:spacing w:val="0"/>
          <w:sz w:val="24"/>
          <w:szCs w:val="24"/>
          <w:shd w:val="clear" w:color="auto" w:fill="ffffff"/>
        </w:rPr>
        <w:t>1. 新增计费模板（核心操作）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Style w:val="NormalCharacter"/>
          <w:rFonts w:eastAsia="宋体"/>
          <w:lang w:val="en-US" w:eastAsia="zh-CN"/>
        </w:rPr>
      </w:pPr>
      <w:r>
        <w:rPr>
          <w:rStyle w:val="000009"/>
        </w:rPr>
        <w:t>点击顶部或列表上方的 【新增】 按钮，进入创建表单页面。需填写以下关键部分：</w:t>
      </w:r>
      <w:r>
        <w:rPr>
          <w:rStyle w:val="000009"/>
          <w:rFonts w:hint="eastAsia"/>
          <w:lang w:val="en-US" w:eastAsia="zh-CN"/>
        </w:rPr>
        <w:t>模板基础信息、基础电价选择、时段配置等，如下图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56" style="mso-position-horizontal-relative:page;mso-position-vertical-relative:page;width:392.999pt;height:184.154pt;" o:bordertopcolor="auto" o:borderleftcolor="auto" o:borderbottomcolor="auto" o:borderrightcolor="auto" type="#_x0000_t75">
            <v:imagedata o:title="" r:id="rId34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6"/>
        <w:keepNext w:val="0"/>
        <w:keepLines w:val="0"/>
        <w:widowControl w:val="1"/>
        <w:suppressLineNumbers w:val="0"/>
        <w:shd w:val="clear" w:color="auto" w:fill="ffffff"/>
        <w:spacing w:before="240" w:beforeAutospacing="0" w:after="120" w:afterAutospacing="0" w:line="420" w:lineRule="atLeast"/>
        <w:ind w:left="0" w:right="0" w:firstLine="0"/>
        <w:rPr/>
      </w:pPr>
      <w:r>
        <w:rPr>
          <w:rStyle w:val="00000e"/>
          <w:rFonts w:ascii="Segoe UI" w:hAnsi="Segoe UI" w:eastAsia="Segoe UI" w:cs="Segoe UI"/>
          <w:caps w:val="0"/>
          <w:color w:val="0f1115"/>
          <w:spacing w:val="0"/>
          <w:sz w:val="24"/>
          <w:szCs w:val="24"/>
          <w:shd w:val="clear" w:color="auto" w:fill="ffffff"/>
        </w:rPr>
        <w:t>2. 编辑模板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Style w:val="NormalCharacter"/>
        </w:rPr>
      </w:pPr>
      <w:r>
        <w:rPr>
          <w:rStyle w:val="000009"/>
        </w:rPr>
        <w:t>点击列表中目标模板的 【编辑】 按钮，可修改其所有配置（名称、关联电价、服务费等</w:t>
      </w:r>
      <w:r>
        <w:rPr>
          <w:rStyle w:val="000009"/>
          <w:rFonts w:hint="eastAsia"/>
          <w:lang w:val="en-US" w:eastAsia="zh-CN"/>
        </w:rPr>
        <w:t>如上图新增</w:t>
      </w:r>
      <w:r>
        <w:rPr>
          <w:rStyle w:val="000009"/>
        </w:rPr>
        <w:t>）。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</w:rPr>
        <w:t>重要影响</w:t>
      </w:r>
      <w:r>
        <w:rPr>
          <w:rStyle w:val="000009"/>
        </w:rPr>
        <w:t>：编辑一个</w:t>
      </w:r>
      <w:r>
        <w:rPr>
          <w:rStyle w:val="00000e"/>
        </w:rPr>
        <w:t>已被站点使用</w:t>
      </w:r>
      <w:r>
        <w:rPr>
          <w:rStyle w:val="000009"/>
        </w:rPr>
        <w:t>中的模板，修改会实时或在下一次充电时影响用户收费。重大调整前请充分评估。</w:t>
      </w:r>
    </w:p>
    <w:p>
      <w:pPr>
        <w:pStyle w:val="000006"/>
        <w:keepNext w:val="0"/>
        <w:keepLines w:val="0"/>
        <w:widowControl w:val="1"/>
        <w:suppressLineNumbers w:val="0"/>
        <w:shd w:val="clear" w:color="auto" w:fill="ffffff"/>
        <w:spacing w:before="240" w:beforeAutospacing="0" w:after="120" w:afterAutospacing="0" w:line="420" w:lineRule="atLeast"/>
        <w:ind w:left="0" w:right="0" w:firstLine="0"/>
        <w:rPr/>
      </w:pPr>
      <w:r>
        <w:rPr>
          <w:rStyle w:val="00000e"/>
          <w:rFonts w:ascii="Segoe UI" w:hAnsi="Segoe UI" w:eastAsia="Segoe UI" w:cs="Segoe UI"/>
          <w:caps w:val="0"/>
          <w:color w:val="0f1115"/>
          <w:spacing w:val="0"/>
          <w:sz w:val="24"/>
          <w:szCs w:val="24"/>
          <w:shd w:val="clear" w:color="auto" w:fill="ffffff"/>
        </w:rPr>
        <w:t>3. 同步到设备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Style w:val="NormalCharacter"/>
        </w:rPr>
      </w:pPr>
      <w:r>
        <w:rPr>
          <w:rStyle w:val="000009"/>
        </w:rPr>
        <w:t>点击 【</w:t>
      </w:r>
      <w:r>
        <w:rPr>
          <w:rStyle w:val="00000e"/>
        </w:rPr>
        <w:t>同步</w:t>
      </w:r>
      <w:r>
        <w:rPr>
          <w:rStyle w:val="000009"/>
        </w:rPr>
        <w:t>】 按钮，是使模板规则生效的关键步骤。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Style w:val="NormalCharacter"/>
        </w:rPr>
      </w:pPr>
      <w:r>
        <w:rPr>
          <w:rStyle w:val="00000e"/>
        </w:rPr>
        <w:t>作用</w:t>
      </w:r>
      <w:r>
        <w:rPr>
          <w:rStyle w:val="000009"/>
        </w:rPr>
        <w:t>：将此模板的完整计费规则下发到关联的充电桩硬件中。只有成功同步后，充电桩才会按照新规则进行计费。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Style w:val="NormalCharacter"/>
        </w:rPr>
      </w:pPr>
      <w:r>
        <w:rPr>
          <w:rStyle w:val="000009"/>
        </w:rPr>
        <w:t>查看同步结果：同步操作会生成记录，可在 【</w:t>
      </w:r>
      <w:r>
        <w:rPr>
          <w:rStyle w:val="00000e"/>
        </w:rPr>
        <w:t>计费同步日志</w:t>
      </w:r>
      <w:r>
        <w:rPr>
          <w:rStyle w:val="000009"/>
        </w:rPr>
        <w:t>】 模块中查看成功与否。</w:t>
      </w:r>
    </w:p>
    <w:p>
      <w:pPr>
        <w:pStyle w:val="000006"/>
        <w:keepNext w:val="0"/>
        <w:keepLines w:val="0"/>
        <w:widowControl w:val="1"/>
        <w:suppressLineNumbers w:val="0"/>
        <w:shd w:val="clear" w:color="auto" w:fill="ffffff"/>
        <w:spacing w:before="240" w:beforeAutospacing="0" w:after="120" w:afterAutospacing="0" w:line="420" w:lineRule="atLeast"/>
        <w:ind w:left="0" w:right="0" w:firstLine="0"/>
        <w:rPr/>
      </w:pPr>
      <w:r>
        <w:rPr>
          <w:rStyle w:val="00000e"/>
          <w:rFonts w:ascii="Segoe UI" w:hAnsi="Segoe UI" w:eastAsia="Segoe UI" w:cs="Segoe UI"/>
          <w:caps w:val="0"/>
          <w:color w:val="0f1115"/>
          <w:spacing w:val="0"/>
          <w:sz w:val="24"/>
          <w:szCs w:val="24"/>
          <w:shd w:val="clear" w:color="auto" w:fill="ffffff"/>
        </w:rPr>
        <w:t>4. 删除模板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点击 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【删除】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 按钮。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安全限制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：如果一个模板已被任何充电站或电枪使用，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不允许删除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。</w: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1.4.7计费模板日志</w:t>
      </w:r>
    </w:p>
    <w:p>
      <w:pPr>
        <w:pStyle w:val="000001"/>
        <w:rPr>
          <w:rStyle w:val="NormalCharacter"/>
          <w:rFonts w:hint="eastAsia"/>
          <w:lang w:val="en-US" w:eastAsia="zh-CN"/>
        </w:rPr>
      </w:pPr>
      <w:r>
        <w:rPr>
          <w:rStyle w:val="00000e"/>
        </w:rPr>
        <w:t>计费规则下发与变更的"审计追踪系统"</w:t>
      </w:r>
      <w:r>
        <w:rPr>
          <w:rStyle w:val="000009"/>
        </w:rPr>
        <w:t>保障计费规则从平台配置到硬件执行的</w:t>
      </w:r>
      <w:r>
        <w:rPr>
          <w:rStyle w:val="00000e"/>
        </w:rPr>
        <w:t>全链路可追溯、可审计、可排查</w:t>
      </w:r>
      <w:r>
        <w:rPr>
          <w:rStyle w:val="000009"/>
        </w:rPr>
        <w:t>，是确保计费准确性的关键监控工具。</w:t>
      </w:r>
      <w:r>
        <w:rPr>
          <w:rStyle w:val="000009"/>
          <w:rFonts w:hint="eastAsia"/>
          <w:lang w:val="en-US" w:eastAsia="zh-CN"/>
        </w:rPr>
        <w:t>主要包含查询功能，以及模板再次同步功能。</w:t>
      </w:r>
    </w:p>
    <w:p>
      <w:pPr>
        <w:pStyle w:val="00000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列表查询：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/>
          <w:lang w:val="en-US" w:eastAsia="zh-CN"/>
        </w:rPr>
        <w:t>用于从众多日志中，快速定位电桩模板同步日志，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使用【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状态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】、【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电桩编码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】【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时间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】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等定位具体日志信息。</w:t>
      </w:r>
    </w:p>
    <w:p>
      <w:pPr>
        <w:pStyle w:val="00000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同步模板：</w:t>
      </w:r>
    </w:p>
    <w:p>
      <w:pPr>
        <w:pStyle w:val="000001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/>
          <w:lang w:val="en-US" w:eastAsia="zh-CN"/>
        </w:rPr>
        <w:t>针对于计费模板同步失败电桩的日志记录，点击【同步模板】按钮牛，可再次同步计费模板到设备。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57" style="mso-position-horizontal-relative:page;mso-position-vertical-relative:page;width:415.207pt;height:82.1058pt;" o:bordertopcolor="auto" o:borderleftcolor="auto" o:borderbottomcolor="auto" o:borderrightcolor="auto" type="#_x0000_t75">
            <v:imagedata o:title="" r:id="rId35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1.5优惠券管理</w: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1.5.1功能描述</w:t>
      </w:r>
    </w:p>
    <w:p>
      <w:pPr>
        <w:pStyle w:val="000001"/>
        <w:rPr>
          <w:rStyle w:val="Strong"/>
          <w:lang w:val="en-US" w:eastAsia="zh-CN"/>
        </w:rPr>
      </w:pPr>
      <w:r>
        <w:rPr>
          <w:rStyle w:val="00000e"/>
        </w:rPr>
        <w:t>营销活动与用户促活的核心工具平台</w:t>
      </w:r>
      <w:r>
        <w:rPr>
          <w:rStyle w:val="000009"/>
        </w:rPr>
        <w:t>，用于创建、发放、监控各种优惠权益，刺激充电消费，提升用户粘性和复购率。包含两个核心子模块：</w:t>
      </w:r>
      <w:r>
        <w:rPr>
          <w:rStyle w:val="00000e"/>
        </w:rPr>
        <w:t>优惠券（券模板管理） 和 领取记录（用户领取与使用追踪）。</w: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1.5.2优惠券</w:t>
      </w:r>
    </w:p>
    <w:p>
      <w:pPr>
        <w:pStyle w:val="000001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创建、管理、发放各类优惠券模板，实现精准营销和用户促活</w:t>
      </w:r>
    </w:p>
    <w:p>
      <w:pPr>
        <w:pStyle w:val="000006"/>
        <w:bidi w:val="0"/>
        <w:rPr/>
      </w:pPr>
      <w:r>
        <w:rPr/>
        <w:t>1. 筛选查询操作</w:t>
      </w:r>
    </w:p>
    <w:p>
      <w:pPr>
        <w:pStyle w:val="00000d"/>
        <w:keepNext w:val="0"/>
        <w:keepLines w:val="0"/>
        <w:widowControl w:val="1"/>
        <w:suppressLineNumbers w:val="0"/>
        <w:pBdr/>
        <w:shd w:val="clear" w:color="auto" w:fill="ffffff"/>
        <w:spacing w:before="240" w:beforeAutospacing="0" w:after="240" w:afterAutospacing="0"/>
        <w:ind w:left="0" w:right="0" w:firstLine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目的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：快速定位特定优惠券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按照名称、时间、状态等查询条件定位优惠券信息</w:t>
      </w:r>
    </w:p>
    <w:p>
      <w:pPr>
        <w:pStyle w:val="00000d"/>
        <w:keepNext w:val="0"/>
        <w:keepLines w:val="0"/>
        <w:widowControl w:val="1"/>
        <w:suppressLineNumbers w:val="0"/>
        <w:pBdr/>
        <w:shd w:val="clear" w:color="auto" w:fill="ffffff"/>
        <w:spacing w:before="240" w:beforeAutospacing="0" w:after="240" w:afterAutospacing="0"/>
        <w:ind w:left="0" w:right="0" w:firstLine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drawing>
          <wp:inline distT="0" distB="0" distL="0" distR="0">
            <wp:extent cx="5274310" cy="1347522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1">
                    <a:blip r:embed="rId36"/>
                    <a:stretch/>
                  </pic:blipFill>
                  <pic:spPr>
                    <a:xfrm>
                      <a:off x="0" y="0"/>
                      <a:ext cx="5274310" cy="134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d"/>
        <w:keepNext w:val="0"/>
        <w:keepLines w:val="0"/>
        <w:widowControl w:val="1"/>
        <w:numPr/>
        <w:suppressLineNumbers w:val="0"/>
        <w:pBdr/>
        <w:shd w:val="clear" w:color="auto" w:fill="ffffff"/>
        <w:spacing w:before="240" w:beforeAutospacing="0" w:after="240" w:afterAutospacing="0"/>
        <w:ind w:left="0" w:right="0" w:firstLine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Segoe UI" w:hAnsi="Segoe UI" w:cs="Segoe UI"/>
          <w:b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注意事项: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 xml:space="preserve"> 二维码列点击查看可查看二维码图片，并进行二维码图片信息保存</w:t>
      </w:r>
    </w:p>
    <w:p>
      <w:pPr>
        <w:pStyle w:val="00000d"/>
        <w:keepNext w:val="0"/>
        <w:keepLines w:val="0"/>
        <w:widowControl w:val="1"/>
        <w:suppressLineNumbers w:val="0"/>
        <w:pBdr>
          <w:bottom/>
        </w:pBdr>
        <w:shd w:val="clear" w:color="auto" w:fill="ffffff"/>
        <w:spacing w:before="240" w:beforeAutospacing="0" w:after="240" w:afterAutospacing="0"/>
        <w:ind w:left="0" w:right="0" w:firstLine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drawing>
          <wp:inline distT="0" distB="0" distL="0" distR="0">
            <wp:extent cx="3190875" cy="3019425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1">
                    <a:blip r:embed="rId37"/>
                    <a:stretch/>
                  </pic:blipFill>
                  <pic:spPr>
                    <a:xfrm flipH="0" flipV="0">
                      <a:off x="0" y="0"/>
                      <a:ext cx="31908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6"/>
        <w:bidi w:val="0"/>
        <w:rPr/>
      </w:pPr>
      <w:r>
        <w:rPr/>
        <w:t>2. 新增优惠券</w:t>
      </w:r>
    </w:p>
    <w:p>
      <w:pPr>
        <w:pStyle w:val="00000d"/>
        <w:keepNext w:val="0"/>
        <w:keepLines w:val="0"/>
        <w:widowControl w:val="1"/>
        <w:suppressLineNumbers w:val="0"/>
        <w:pBdr/>
        <w:shd w:val="clear" w:color="auto" w:fill="ffffff"/>
        <w:spacing w:before="240" w:beforeAutospacing="0" w:after="240" w:afterAutospacing="0"/>
        <w:ind w:left="0" w:right="0" w:firstLine="0"/>
        <w:rPr>
          <w:rStyle w:val="000009"/>
        </w:rPr>
      </w:pPr>
      <w:r>
        <w:rPr>
          <w:rStyle w:val="00000e"/>
        </w:rPr>
        <w:t>入口</w:t>
      </w:r>
      <w:r>
        <w:rPr>
          <w:rStyle w:val="000009"/>
        </w:rPr>
        <w:t>：页面右上角有"新增优惠券"按钮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Style w:val="000009"/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Style w:val="000009"/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</w:rPr>
        <w:drawing>
          <wp:inline distT="0" distB="0" distL="0" distR="0">
            <wp:extent cx="5121910" cy="2937593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1">
                    <a:blip r:embed="rId38"/>
                    <a:stretch/>
                  </pic:blipFill>
                  <pic:spPr>
                    <a:xfrm flipH="0" flipV="0">
                      <a:off x="0" y="0"/>
                      <a:ext cx="5121910" cy="293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创建流程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Style w:val="NormalCharacter"/>
          <w:rFonts w:hint="eastAsia"/>
          <w:lang w:val="en-US" w:eastAsia="zh-CN"/>
        </w:rPr>
      </w:pPr>
      <w:r>
        <w:rPr>
          <w:rStyle w:val="000009"/>
        </w:rPr>
        <w:t>点击【</w:t>
      </w:r>
      <w:r>
        <w:rPr>
          <w:rStyle w:val="00000e"/>
        </w:rPr>
        <w:t>新增</w:t>
      </w:r>
      <w:r>
        <w:rPr>
          <w:rStyle w:val="000009"/>
        </w:rPr>
        <w:t>】按钮</w:t>
      </w:r>
      <w:r>
        <w:rPr>
          <w:rStyle w:val="000009"/>
          <w:rFonts w:hint="eastAsia"/>
          <w:lang w:eastAsia="zh-CN"/>
        </w:rPr>
        <w:t>，</w:t>
      </w:r>
      <w:r>
        <w:rPr>
          <w:rStyle w:val="000009"/>
        </w:rPr>
        <w:t>填写信息</w:t>
      </w:r>
      <w:r>
        <w:rPr>
          <w:rStyle w:val="000009"/>
          <w:rFonts w:hint="eastAsia"/>
          <w:lang w:eastAsia="zh-CN"/>
        </w:rPr>
        <w:t>（</w:t>
      </w:r>
      <w:r>
        <w:rPr>
          <w:rStyle w:val="000009"/>
          <w:rFonts w:hint="eastAsia"/>
          <w:lang w:val="en-US" w:eastAsia="zh-CN"/>
        </w:rPr>
        <w:t>数量规则、名称、时间等</w:t>
      </w:r>
      <w:r>
        <w:rPr>
          <w:rStyle w:val="000009"/>
          <w:rFonts w:hint="eastAsia"/>
          <w:lang w:eastAsia="zh-CN"/>
        </w:rPr>
        <w:t>）</w:t>
      </w:r>
      <w:r>
        <w:rPr>
          <w:rStyle w:val="000009"/>
          <w:rFonts w:hint="eastAsia"/>
          <w:lang w:val="en-US" w:eastAsia="zh-CN"/>
        </w:rPr>
        <w:t>点击保存，生成对应优惠券信息</w:t>
      </w:r>
    </w:p>
    <w:p>
      <w:pPr>
        <w:pStyle w:val="00000d"/>
        <w:keepNext w:val="0"/>
        <w:keepLines w:val="0"/>
        <w:widowControl w:val="1"/>
        <w:suppressLineNumbers w:val="0"/>
        <w:pBdr/>
        <w:shd w:val="clear" w:color="auto" w:fill="ffffff"/>
        <w:spacing w:before="240" w:beforeAutospacing="0" w:after="240" w:afterAutospacing="0"/>
        <w:ind w:left="0" w:right="0" w:firstLine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注意事项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优惠券的生效时间区间不得早于当前时间，必须包含或在当前时间之后，时间填写错误，系统会给出对应提示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pStyle w:val="00000d"/>
        <w:keepNext w:val="0"/>
        <w:keepLines w:val="0"/>
        <w:widowControl w:val="1"/>
        <w:suppressLineNumbers w:val="0"/>
        <w:pBdr/>
        <w:shd w:val="clear" w:color="auto" w:fill="ffffff"/>
        <w:spacing w:before="240" w:beforeAutospacing="0" w:after="240" w:afterAutospacing="0"/>
        <w:ind w:left="0" w:right="0" w:firstLine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Segoe UI" w:hAnsi="Segoe UI" w:cs="Segoe UI"/>
          <w:b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重点：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如果不直接发放优惠券给用户，通过二维码让用户领取优惠券，</w:t>
      </w:r>
      <w:r>
        <w:rPr>
          <w:rFonts w:hint="eastAsia" w:ascii="Segoe UI" w:hAnsi="Segoe UI" w:cs="Segoe UI"/>
          <w:b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需要配置优惠券海报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。不配置海报，</w:t>
      </w:r>
      <w:r>
        <w:rPr>
          <w:rFonts w:hint="eastAsia" w:ascii="Segoe UI" w:hAnsi="Segoe UI" w:cs="Segoe UI"/>
          <w:b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扫码则提示用户优惠券已过期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。配置海报完成，具体扫码领取展示如下：点击立即领取，领取优惠券。</w:t>
      </w:r>
    </w:p>
    <w:p>
      <w:pPr>
        <w:pStyle w:val="00000d"/>
        <w:keepNext w:val="0"/>
        <w:keepLines w:val="0"/>
        <w:widowControl w:val="1"/>
        <w:suppressLineNumbers w:val="0"/>
        <w:pBdr/>
        <w:shd w:val="clear" w:color="auto" w:fill="ffffff"/>
        <w:spacing w:before="240" w:beforeAutospacing="0" w:after="240" w:afterAutospacing="0"/>
        <w:ind w:left="0" w:right="0" w:firstLine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drawing>
          <wp:inline distT="0" distB="0" distL="0" distR="0">
            <wp:extent cx="2202179" cy="4186555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1">
                    <a:blip r:embed="rId39"/>
                    <a:stretch/>
                  </pic:blipFill>
                  <pic:spPr>
                    <a:xfrm flipH="0" flipV="0">
                      <a:off x="0" y="0"/>
                      <a:ext cx="2202179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d"/>
        <w:keepNext w:val="0"/>
        <w:keepLines w:val="0"/>
        <w:widowControl w:val="1"/>
        <w:suppressLineNumbers w:val="0"/>
        <w:pBdr>
          <w:bottom/>
        </w:pBdr>
        <w:shd w:val="clear" w:color="auto" w:fill="ffffff"/>
        <w:spacing w:before="240" w:beforeAutospacing="0" w:after="240" w:afterAutospacing="0"/>
        <w:ind w:left="0" w:right="0" w:firstLine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</w:p>
    <w:p>
      <w:pPr>
        <w:pStyle w:val="000006"/>
        <w:bidi w:val="0"/>
        <w:rPr/>
      </w:pPr>
      <w:r>
        <w:rPr/>
        <w:t>3. 编辑优惠券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操作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：点击目标优惠券所在行的【编辑】按钮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可编辑内容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：优惠券名称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数量等基本信息可编辑，</w:t>
      </w:r>
      <w:r>
        <w:rPr>
          <w:rStyle w:val="00000e"/>
          <w:rFonts w:hint="eastAsia"/>
          <w:lang w:val="en-US" w:eastAsia="zh-CN"/>
        </w:rPr>
        <w:t>优惠券规则满金额、减金额不允许编辑</w:t>
      </w:r>
    </w:p>
    <w:p>
      <w:pPr>
        <w:pStyle w:val="00000d"/>
        <w:keepNext w:val="0"/>
        <w:keepLines w:val="0"/>
        <w:widowControl w:val="1"/>
        <w:suppressLineNumbers w:val="0"/>
        <w:pBdr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注意事项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：重大修改建议创建新券而非编辑旧券</w:t>
      </w:r>
    </w:p>
    <w:p>
      <w:pPr>
        <w:pStyle w:val="00000d"/>
        <w:keepNext w:val="0"/>
        <w:keepLines w:val="0"/>
        <w:widowControl w:val="1"/>
        <w:suppressLineNumbers w:val="0"/>
        <w:pBdr>
          <w:bottom/>
        </w:pBdr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drawing>
          <wp:inline distT="0" distB="0" distL="0" distR="0">
            <wp:extent cx="4969510" cy="335800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1">
                    <a:blip r:embed="rId40"/>
                    <a:stretch/>
                  </pic:blipFill>
                  <pic:spPr>
                    <a:xfrm flipH="0" flipV="0">
                      <a:off x="0" y="0"/>
                      <a:ext cx="4969510" cy="33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1"/>
        <w:keepNext w:val="0"/>
        <w:keepLines w:val="0"/>
        <w:widowControl w:val="1"/>
        <w:numPr>
          <w:ilvl w:val="0"/>
          <w:numId w:val="0"/>
        </w:numPr>
        <w:suppressLineNumbers w:val="0"/>
        <w:spacing w:before="90" w:beforeAutospacing="0" w:after="100" w:afterAutospacing="1"/>
        <w:rPr/>
      </w:pPr>
    </w:p>
    <w:p>
      <w:pPr>
        <w:pStyle w:val="000006"/>
        <w:bidi w:val="0"/>
        <w:rPr/>
      </w:pPr>
      <w:r>
        <w:rPr/>
        <w:t>4. 发放优惠券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Style w:val="NormalCharacter"/>
        </w:rPr>
      </w:pPr>
      <w:r>
        <w:rPr>
          <w:rStyle w:val="000009"/>
        </w:rPr>
        <w:t>提供两种发放模式：</w:t>
      </w:r>
    </w:p>
    <w:p>
      <w:pPr>
        <w:pStyle w:val="000008"/>
        <w:bidi w:val="0"/>
        <w:rPr/>
      </w:pPr>
      <w:r>
        <w:rPr/>
        <w:t>（1）精准发放（【发放优惠券】按钮）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适用场景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：向特定用户或用户群发放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操作流程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点击目标优惠券的【发放优惠券】按钮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在弹出的发放界面中：</w:t>
      </w:r>
      <w:r>
        <w:rPr>
          <w:rStyle w:val="00000e"/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输入手机号查询用户信息,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选择需要发放优惠券的用户，点击【保存】发放优惠券，如下图</w:t>
      </w:r>
    </w:p>
    <w:p>
      <w:pPr>
        <w:pStyle w:val="000008"/>
        <w:bidi w:val="0"/>
        <w:rPr/>
      </w:pPr>
      <w:r>
        <w:rPr/>
        <w:t>（2）批量发放（【全体发放】按钮）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适用场景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：向所有注册用户发放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操作流程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：点击【全体发放】按钮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系统弹出确认对话框，显示：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61" style="mso-position-horizontal-relative:page;mso-position-vertical-relative:page;width:309pt;height:87.75pt;" o:bordertopcolor="auto" o:borderleftcolor="auto" o:borderbottomcolor="auto" o:borderrightcolor="auto" type="#_x0000_t75">
            <v:imagedata o:title="" r:id="rId41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确认后，系统向所有符合条件的用户发放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发放进度可在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【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领取记录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】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模块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中查看</w:t>
      </w:r>
    </w:p>
    <w:p>
      <w:pPr>
        <w:pStyle w:val="000006"/>
        <w:bidi w:val="0"/>
        <w:rPr/>
      </w:pPr>
      <w:r>
        <w:rPr/>
        <w:t>5. 优惠券状态管理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状态类型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已生效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：优惠券可用，用户可领取使用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eastAsia="宋体"/>
          <w:lang w:val="en-US" w:eastAsia="zh-CN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已失效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：优惠券已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过期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，已领取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也不可使用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未开始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：未到有效开始时间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状态转换操作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自动状态更新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：系统根据有效期自动更新状态</w:t>
      </w:r>
    </w:p>
    <w:p>
      <w:pPr>
        <w:pStyle w:val="000006"/>
        <w:bidi w:val="0"/>
        <w:rPr/>
      </w:pPr>
      <w:r>
        <w:rPr/>
        <w:t>6. 删除优惠券</w:t>
      </w:r>
    </w:p>
    <w:p>
      <w:pPr>
        <w:pStyle w:val="00000d"/>
        <w:keepNext w:val="0"/>
        <w:keepLines w:val="0"/>
        <w:widowControl w:val="1"/>
        <w:suppressLineNumbers w:val="0"/>
        <w:shd w:val="clear" w:color="auto" w:fill="ffffff"/>
        <w:spacing w:before="240" w:beforeAutospacing="0" w:after="240" w:afterAutospacing="0"/>
        <w:ind w:left="0" w:right="0" w:firstLine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操作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：点击【删除】按钮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/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可删除条件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：从未被发放过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、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无用户领取记录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120" w:afterAutospacing="0"/>
        <w:ind w:left="0" w:right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不可删除条件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：已有用户领取（需先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删除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已发放券）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、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优惠券已被使用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等</w:t>
      </w:r>
    </w:p>
    <w:p>
      <w:pPr>
        <w:pStyle w:val="000005"/>
        <w:bidi w:val="0"/>
        <w:rPr>
          <w:lang w:val="en-US" w:eastAsia="zh-CN"/>
        </w:rPr>
      </w:pPr>
      <w:r>
        <w:rPr>
          <w:rFonts w:hint="eastAsia"/>
          <w:lang w:val="en-US" w:eastAsia="zh-CN"/>
        </w:rPr>
        <w:t>1.5.3领取记录</w:t>
      </w:r>
    </w:p>
    <w:p>
      <w:pPr>
        <w:pStyle w:val="000001"/>
        <w:rPr>
          <w:rStyle w:val="NormalCharacter"/>
          <w:sz w:val="24"/>
          <w:szCs w:val="24"/>
        </w:rPr>
      </w:pPr>
      <w:r>
        <w:rPr>
          <w:rStyle w:val="00000e"/>
          <w:rFonts w:hint="eastAsia"/>
          <w:sz w:val="24"/>
          <w:szCs w:val="24"/>
          <w:lang w:val="en-US" w:eastAsia="zh-CN"/>
        </w:rPr>
        <w:t>追</w:t>
      </w:r>
      <w:r>
        <w:rPr>
          <w:rStyle w:val="00000e"/>
          <w:sz w:val="24"/>
          <w:szCs w:val="24"/>
        </w:rPr>
        <w:t>踪和审计优惠券发放全链路，</w:t>
      </w:r>
      <w:r>
        <w:rPr>
          <w:rStyle w:val="000009"/>
          <w:sz w:val="24"/>
          <w:szCs w:val="24"/>
        </w:rPr>
        <w:t>记录每个用户领取每一张优惠券的详细信息、使用状态和生命周期</w:t>
      </w:r>
      <w:r>
        <w:rPr>
          <w:rStyle w:val="000009"/>
          <w:rFonts w:hint="eastAsia"/>
          <w:sz w:val="24"/>
          <w:szCs w:val="24"/>
          <w:lang w:eastAsia="zh-CN"/>
        </w:rPr>
        <w:t>，</w:t>
      </w:r>
      <w:r>
        <w:rPr>
          <w:rStyle w:val="000009"/>
          <w:sz w:val="24"/>
          <w:szCs w:val="24"/>
        </w:rPr>
        <w:t>连接“优惠券模板”与“用户实际使用”的关键桥梁</w:t>
      </w:r>
    </w:p>
    <w:p>
      <w:pPr>
        <w:pStyle w:val="000008"/>
        <w:numPr>
          <w:ilvl w:val="0"/>
          <w:numId w:val="4"/>
        </w:numPr>
        <w:bidi w:val="0"/>
        <w:rPr/>
      </w:pPr>
      <w:r>
        <w:rPr/>
        <w:t>多维度查询</w:t>
      </w:r>
    </w:p>
    <w:p>
      <w:pPr>
        <w:pStyle w:val="000001"/>
        <w:rPr>
          <w:rStyle w:val="NormalCharacter"/>
          <w:rFonts w:hint="eastAsia"/>
          <w:sz w:val="24"/>
          <w:szCs w:val="24"/>
          <w:lang w:val="en-US" w:eastAsia="zh-CN"/>
        </w:rPr>
      </w:pPr>
      <w:r>
        <w:rPr>
          <w:rStyle w:val="000009"/>
          <w:rFonts w:hint="eastAsia"/>
          <w:sz w:val="24"/>
          <w:szCs w:val="24"/>
          <w:lang w:val="en-US" w:eastAsia="zh-CN"/>
        </w:rPr>
        <w:t>根据【时间区间】、【优惠券信息】【用户信息】等多条件筛选，快速定位用户领取优惠券的记录。</w:t>
      </w:r>
    </w:p>
    <w:p>
      <w:pPr>
        <w:pStyle w:val="000008"/>
        <w:numPr>
          <w:ilvl w:val="0"/>
          <w:numId w:val="4"/>
        </w:numPr>
        <w:bidi w:val="0"/>
        <w:rPr/>
      </w:pPr>
      <w:r>
        <w:rPr/>
        <w:t>删除记录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主要用于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测试数据清理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误发放记录清理、无效记录清理等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Style w:val="00000e"/>
          <w:rFonts w:hint="eastAsia"/>
          <w:lang w:val="en-US" w:eastAsia="zh-CN"/>
        </w:rPr>
        <w:t>删除规则：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已使用的不可删除</w:t>
      </w:r>
    </w:p>
    <w:p>
      <w:pPr>
        <w:pStyle w:val="000001"/>
        <w:numPr>
          <w:ilvl w:val="0"/>
          <w:numId w:val="0"/>
        </w:numPr>
        <w:ind w:leftChars="0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62" style="width:414.455pt;height:115.955pt;" o:bordertopcolor="auto" o:borderleftcolor="auto" o:borderbottomcolor="auto" o:borderrightcolor="auto" type="#_x0000_t75">
            <v:imagedata o:title="" r:id="rId42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rPr>
          <w:rStyle w:val="NormalCharacter"/>
          <w:rFonts w:hint="eastAsia"/>
          <w:sz w:val="24"/>
          <w:szCs w:val="24"/>
          <w:lang w:val="en-US" w:eastAsia="zh-CN"/>
        </w:rPr>
      </w:pPr>
    </w:p>
    <w:p>
      <w:pPr>
        <w:pStyle w:val="000004"/>
        <w:bidi w:val="0"/>
        <w:rPr>
          <w:lang w:val="en-US" w:eastAsia="zh-CN"/>
        </w:rPr>
      </w:pPr>
      <w:r>
        <w:rPr>
          <w:rFonts w:hint="eastAsia"/>
          <w:lang w:val="en-US" w:eastAsia="zh-CN"/>
        </w:rPr>
        <w:t>1.6统计报表(运营账号/投资人账号)</w: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1.6.1功能描述</w:t>
      </w:r>
    </w:p>
    <w:p>
      <w:pPr>
        <w:pStyle w:val="000001"/>
        <w:pBdr/>
        <w:ind/>
        <w:rPr>
          <w:rStyle w:val="00000e"/>
          <w:rFonts w:hint="eastAsia"/>
          <w:color w:val="c00000"/>
          <w:lang w:val="en-US" w:eastAsia="zh-CN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数据洞察与决策支持中心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，将分散的业务数据聚合、可视化，为运营、财务、投资等多方提供关键指标监控和趋势分析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针对于</w:t>
      </w:r>
      <w:r>
        <w:rPr>
          <w:rStyle w:val="00000e"/>
          <w:rFonts w:hint="eastAsia"/>
          <w:color w:val="c00000"/>
          <w:lang w:val="en-US" w:eastAsia="zh-CN"/>
        </w:rPr>
        <w:t>投资方有专门的投资人账号及管理页面</w:t>
      </w:r>
    </w:p>
    <w:p>
      <w:pPr>
        <w:pStyle w:val="000001"/>
        <w:rPr>
          <w:rStyle w:val="00000e"/>
          <w:rFonts w:hint="eastAsia"/>
          <w:color w:val="c00000"/>
          <w:lang w:val="en-US" w:eastAsia="zh-CN"/>
        </w:rPr>
      </w:pP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1.6.2月度统计</w:t>
      </w:r>
    </w:p>
    <w:p>
      <w:pPr>
        <w:pStyle w:val="000001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按月维度分析各充电站的收益构成及投资人可分配收益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，为投资决策、收益分配和电站评估提供数据支持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。</w:t>
      </w:r>
    </w:p>
    <w:p>
      <w:pPr>
        <w:pStyle w:val="000001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</w:pP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c00000"/>
          <w:spacing w:val="0"/>
          <w:sz w:val="24"/>
          <w:szCs w:val="24"/>
          <w:shd w:val="clear" w:color="auto" w:fill="ffffff"/>
          <w:lang w:val="en-US" w:eastAsia="zh-CN"/>
        </w:rPr>
        <w:t>投资人账号登录，只能看到投资的电站收益图表</w:t>
      </w:r>
    </w:p>
    <w:p>
      <w:pPr>
        <w:pStyle w:val="00000d"/>
        <w:keepNext w:val="0"/>
        <w:keepLines w:val="0"/>
        <w:widowControl w:val="1"/>
        <w:suppressLineNumbers w:val="0"/>
        <w:pBdr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使用场景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：</w:t>
      </w:r>
    </w:p>
    <w:p>
      <w:pPr>
        <w:pStyle w:val="00000d"/>
        <w:keepNext w:val="0"/>
        <w:keepLines w:val="0"/>
        <w:widowControl w:val="1"/>
        <w:suppressLineNumbers w:val="0"/>
        <w:pBdr/>
        <w:shd w:val="clear" w:color="auto" w:fill="ffffff"/>
        <w:spacing w:before="240" w:beforeAutospacing="0" w:after="240" w:afterAutospacing="0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投资人查看自己投资的电站收益情况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、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财务人员准备月度收益分配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、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运营人员评</w:t>
      </w:r>
    </w:p>
    <w:p>
      <w:pPr>
        <w:pStyle w:val="00000d"/>
        <w:keepNext w:val="0"/>
        <w:keepLines w:val="0"/>
        <w:widowControl w:val="1"/>
        <w:numPr/>
        <w:suppressLineNumbers w:val="0"/>
        <w:pBdr>
          <w:bottom/>
        </w:pBdr>
        <w:spacing w:before="0" w:beforeAutospacing="0" w:after="0" w:afterAutospacing="0"/>
        <w:ind w:left="0" w:right="0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估电站盈利能力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、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管理层决策电站投资或优化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可</w:t>
      </w:r>
      <w:r>
        <w:rPr>
          <w:rStyle w:val="00000e"/>
          <w:rFonts w:hint="eastAsia"/>
          <w:lang w:val="en-US" w:eastAsia="zh-CN"/>
        </w:rPr>
        <w:t>选择具体投资人和电站具体月份等精准查询月度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收益信息</w:t>
      </w:r>
    </w:p>
    <w:p>
      <w:pPr>
        <w:pStyle w:val="00000d"/>
        <w:keepNext w:val="0"/>
        <w:keepLines w:val="0"/>
        <w:widowControl w:val="1"/>
        <w:suppressLineNumbers w:val="0"/>
        <w:spacing w:before="0" w:beforeAutospacing="0" w:after="0" w:afterAutospacing="0"/>
        <w:ind w:left="0" w:right="0"/>
        <w:rPr>
          <w:rFonts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63" style="width:355.054pt;height:210.347pt;" o:bordertopcolor="auto" o:borderleftcolor="auto" o:borderbottomcolor="auto" o:borderrightcolor="auto" type="#_x0000_t75">
            <v:imagedata o:title="" r:id="rId43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1.6.3投资人收益</w:t>
      </w:r>
    </w:p>
    <w:p>
      <w:pPr>
        <w:pStyle w:val="000001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投资级收益明细追溯系统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，提供每笔充电订单收益在投资人之间的精确分摊明细，实现收益分配的完全透明化和可追溯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Style w:val="000009"/>
          <w:sz w:val="24"/>
          <w:szCs w:val="24"/>
        </w:rPr>
        <w:t>让</w:t>
      </w:r>
      <w:r>
        <w:rPr>
          <w:rStyle w:val="000009"/>
          <w:rFonts w:hint="eastAsia"/>
          <w:sz w:val="24"/>
          <w:szCs w:val="24"/>
          <w:lang w:val="en-US" w:eastAsia="zh-CN"/>
        </w:rPr>
        <w:t>运营人员和</w:t>
      </w:r>
      <w:r>
        <w:rPr>
          <w:rStyle w:val="000009"/>
          <w:sz w:val="24"/>
          <w:szCs w:val="24"/>
        </w:rPr>
        <w:t>投资人清楚看到“</w:t>
      </w:r>
      <w:r>
        <w:rPr>
          <w:rStyle w:val="00000e"/>
        </w:rPr>
        <w:t>每一分钱收益从哪笔订单来、如何计算、按何比例分配</w:t>
      </w:r>
      <w:r>
        <w:rPr>
          <w:rStyle w:val="000009"/>
          <w:sz w:val="24"/>
          <w:szCs w:val="24"/>
        </w:rPr>
        <w:t>”</w:t>
      </w:r>
      <w:r>
        <w:rPr>
          <w:rStyle w:val="000009"/>
          <w:rFonts w:hint="eastAsia"/>
          <w:sz w:val="24"/>
          <w:szCs w:val="24"/>
          <w:lang w:eastAsia="zh-CN"/>
        </w:rPr>
        <w:t>。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订单级收益分配明细（相比月度统计的汇总数据，这里展示每笔订单的具体分配）</w:t>
      </w:r>
    </w:p>
    <w:p>
      <w:pPr>
        <w:pStyle w:val="000001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</w:pP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c00000"/>
          <w:spacing w:val="0"/>
          <w:sz w:val="24"/>
          <w:szCs w:val="24"/>
          <w:shd w:val="clear" w:color="auto" w:fill="ffffff"/>
          <w:lang w:val="en-US" w:eastAsia="zh-CN"/>
        </w:rPr>
        <w:t>投资人账号登录，只能看到投资的电站收益</w:t>
      </w:r>
    </w:p>
    <w:p>
      <w:pPr>
        <w:pStyle w:val="000001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64" style="width:363.909pt;height:135.101pt;" o:bordertopcolor="auto" o:borderleftcolor="auto" o:borderbottomcolor="auto" o:borderrightcolor="auto" type="#_x0000_t75">
            <v:imagedata o:title="" r:id="rId44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rPr/>
      </w:pP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1.6.4充电统计</w:t>
      </w:r>
    </w:p>
    <w:p>
      <w:pPr>
        <w:pStyle w:val="000001"/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实时充电运营监控与数据洞察中心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，提供多维度、可视化的充电业务数据，支持日常监控、趋势分析和决策制定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通过实时数据和可视化分析，帮助运营人员快速掌握业务状况，识别优化机会</w:t>
      </w:r>
    </w:p>
    <w:p>
      <w:pPr>
        <w:pStyle w:val="000001"/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c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c00000"/>
          <w:spacing w:val="0"/>
          <w:sz w:val="24"/>
          <w:szCs w:val="24"/>
          <w:shd w:val="clear" w:color="auto" w:fill="ffffff"/>
          <w:lang w:val="en-US" w:eastAsia="zh-CN"/>
        </w:rPr>
        <w:t>投资人账号登录，只能看到投资的电站收益图表</w:t>
      </w:r>
    </w:p>
    <w:p>
      <w:pPr>
        <w:pStyle w:val="000001"/>
        <w:rPr>
          <w:rStyle w:val="Strong"/>
          <w:rFonts w:hint="eastAsia"/>
          <w:sz w:val="24"/>
          <w:szCs w:val="24"/>
          <w:lang w:val="en-US" w:eastAsia="zh-CN"/>
        </w:rPr>
      </w:pPr>
      <w:r>
        <w:rPr>
          <w:rStyle w:val="00000e"/>
          <w:rFonts w:hint="eastAsia"/>
          <w:sz w:val="24"/>
          <w:szCs w:val="24"/>
          <w:lang w:val="en-US" w:eastAsia="zh-CN"/>
        </w:rPr>
        <w:t>主要内容：</w:t>
      </w:r>
    </w:p>
    <w:p>
      <w:pPr>
        <w:pStyle w:val="000001"/>
        <w:rPr>
          <w:rStyle w:val="Strong"/>
          <w:rFonts w:eastAsia="宋体"/>
          <w:sz w:val="24"/>
          <w:szCs w:val="24"/>
          <w:lang w:val="en-US" w:eastAsia="zh-CN"/>
        </w:rPr>
      </w:pP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充电总量、充电总收入、充电次数、活跃电站、</w:t>
      </w: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充电趋势图、电桩状态分析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，充电列表信息展示。可通过【电站名称】【时间区间】查询条件定位某个时间段或某电站的具体分析数据。</w:t>
      </w:r>
    </w:p>
    <w:p>
      <w:pPr>
        <w:pStyle w:val="000001"/>
        <w:rPr>
          <w:rFonts w:hint="eastAsia"/>
          <w:lang w:val="en-US" w:eastAsia="zh-CN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65" style="width:414.453pt;height:483.503pt;" o:bordertopcolor="auto" o:borderleftcolor="auto" o:borderbottomcolor="auto" o:borderrightcolor="auto" type="#_x0000_t75">
            <v:imagedata o:title="" r:id="rId45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1"/>
        <w:rPr>
          <w:rFonts w:hint="eastAsia"/>
          <w:lang w:val="en-US" w:eastAsia="zh-CN"/>
        </w:rPr>
      </w:pP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1.6.5收益图标</w:t>
      </w:r>
    </w:p>
    <w:p>
      <w:pPr>
        <w:pStyle w:val="000001"/>
        <w:rPr>
          <w:rFonts w:eastAsia="宋体"/>
          <w:lang w:val="en-US" w:eastAsia="zh-CN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投资人收益可视化分析中心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，通过图表直观展示投资人收益排名、收益构成和投资收益表现，帮助投资人快速了解投资回报状况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聚焦投资人维度，可视化展示收益分布和投资效果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Segoe UI" w:hAnsi="Segoe UI" w:cs="Segoe UI"/>
          <w:b w:val="1"/>
          <w:bCs w:val="1"/>
          <w:i w:val="0"/>
          <w:iCs w:val="0"/>
          <w:caps w:val="0"/>
          <w:color w:val="c00000"/>
          <w:spacing w:val="0"/>
          <w:sz w:val="24"/>
          <w:szCs w:val="24"/>
          <w:shd w:val="clear" w:color="auto" w:fill="ffffff"/>
          <w:lang w:val="en-US" w:eastAsia="zh-CN"/>
        </w:rPr>
        <w:t>投资人账号登录，只能看到投资的电站收益图表</w:t>
      </w:r>
    </w:p>
    <w:p>
      <w:pPr>
        <w:pStyle w:val="000001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66" style="width:414.74pt;height:343.303pt;" o:bordertopcolor="auto" o:borderleftcolor="auto" o:borderbottomcolor="auto" o:borderrightcolor="auto" type="#_x0000_t75">
            <v:imagedata o:title="" r:id="rId46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5"/>
        <w:bidi w:val="0"/>
        <w:rPr>
          <w:lang w:val="en-US" w:eastAsia="zh-CN"/>
        </w:rPr>
      </w:pPr>
      <w:r>
        <w:rPr>
          <w:rFonts w:hint="eastAsia"/>
          <w:lang w:val="en-US" w:eastAsia="zh-CN"/>
        </w:rPr>
        <w:t>1.6.6电站收益占比</w:t>
      </w:r>
    </w:p>
    <w:p>
      <w:pPr>
        <w:pStyle w:val="000001"/>
        <w:rPr>
          <w:rStyle w:val="NormalCharacter"/>
          <w:rFonts w:hint="eastAsia"/>
          <w:sz w:val="24"/>
          <w:szCs w:val="24"/>
          <w:lang w:eastAsia="zh-CN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电站级收益贡献分析与投资人权益管理平台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，以电站为维度分析收益构成及在各投资人之间的分配情况，识别高价值站点和优化机会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Style w:val="000009"/>
          <w:sz w:val="24"/>
          <w:szCs w:val="24"/>
        </w:rPr>
        <w:t>连接 </w:t>
      </w:r>
      <w:r>
        <w:rPr>
          <w:rStyle w:val="000009"/>
          <w:b w:val="1"/>
          <w:bCs w:val="1"/>
          <w:sz w:val="24"/>
          <w:szCs w:val="24"/>
        </w:rPr>
        <w:t>电站运营数据</w:t>
      </w:r>
      <w:r>
        <w:rPr>
          <w:rStyle w:val="000009"/>
          <w:sz w:val="24"/>
          <w:szCs w:val="24"/>
        </w:rPr>
        <w:t> 与 </w:t>
      </w:r>
      <w:r>
        <w:rPr>
          <w:rStyle w:val="000009"/>
          <w:b w:val="1"/>
          <w:bCs w:val="1"/>
          <w:sz w:val="24"/>
          <w:szCs w:val="24"/>
        </w:rPr>
        <w:t>投资人收益分配</w:t>
      </w:r>
      <w:r>
        <w:rPr>
          <w:rStyle w:val="000009"/>
          <w:sz w:val="24"/>
          <w:szCs w:val="24"/>
        </w:rPr>
        <w:t> 的桥梁</w:t>
      </w:r>
      <w:r>
        <w:rPr>
          <w:rStyle w:val="000009"/>
          <w:rFonts w:hint="eastAsia"/>
          <w:sz w:val="24"/>
          <w:szCs w:val="24"/>
          <w:lang w:eastAsia="zh-CN"/>
        </w:rPr>
        <w:t>。</w:t>
      </w:r>
    </w:p>
    <w:p>
      <w:pPr>
        <w:pStyle w:val="000001"/>
        <w:pBdr>
          <w:bottom/>
        </w:pBdr>
        <w:ind/>
        <w:rPr>
          <w:rStyle w:val="NormalCharacter"/>
          <w:rFonts w:hint="eastAsia"/>
          <w:sz w:val="24"/>
          <w:szCs w:val="24"/>
          <w:lang w:eastAsia="zh-CN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67" style="width:427pt;height:149pt;margin-left:0pt;margin-top:0pt;" o:bordertopcolor="auto" o:borderleftcolor="auto" o:borderbottomcolor="auto" o:borderrightcolor="auto" type="#_x0000_t75">
            <v:imagedata o:title="" r:id="rId47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1.7小程序管理</w: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1.7.1功能描述</w:t>
      </w:r>
    </w:p>
    <w:p>
      <w:pPr>
        <w:pStyle w:val="000001"/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</w:pP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充电小程序前端展示与用户交互内容管理中心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，负责配置和运营用户在小程序端看到的所有内容、功能和活动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。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通过配置化的管理界面，快速更新小程序内容，提升用户体验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。</w: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1.7.2轮播管理</w:t>
      </w:r>
    </w:p>
    <w:p>
      <w:pPr>
        <w:pStyle w:val="000001"/>
        <w:rPr>
          <w:rStyle w:val="NormalCharacter"/>
          <w:sz w:val="24"/>
          <w:szCs w:val="24"/>
        </w:rPr>
      </w:pPr>
      <w:r>
        <w:rPr>
          <w:rStyle w:val="000009"/>
          <w:sz w:val="24"/>
          <w:szCs w:val="24"/>
        </w:rPr>
        <w:t>小程序首页轮播图/Banner广告位配置中心，控制用户在小程序首页看到的视觉焦点内容</w:t>
      </w:r>
      <w:r>
        <w:rPr>
          <w:rStyle w:val="000009"/>
          <w:rFonts w:hint="eastAsia"/>
          <w:sz w:val="24"/>
          <w:szCs w:val="24"/>
          <w:lang w:eastAsia="zh-CN"/>
        </w:rPr>
        <w:t>，</w:t>
      </w:r>
      <w:r>
        <w:rPr>
          <w:rStyle w:val="000009"/>
          <w:sz w:val="24"/>
          <w:szCs w:val="24"/>
        </w:rPr>
        <w:t>通过视觉化的轮播图，引导用户行为，推广活动，传递重要信息</w:t>
      </w:r>
    </w:p>
    <w:p>
      <w:pPr>
        <w:pStyle w:val="000001"/>
        <w:rPr>
          <w:rStyle w:val="NormalCharacter"/>
          <w:sz w:val="24"/>
          <w:szCs w:val="24"/>
        </w:rPr>
      </w:pPr>
    </w:p>
    <w:p>
      <w:pPr>
        <w:pStyle w:val="000001"/>
        <w:rPr>
          <w:rStyle w:val="NormalCharacter"/>
          <w:rFonts w:hint="eastAsia"/>
          <w:sz w:val="24"/>
          <w:szCs w:val="24"/>
          <w:lang w:val="en-US" w:eastAsia="zh-CN"/>
        </w:rPr>
      </w:pPr>
      <w:r>
        <w:rPr>
          <w:rStyle w:val="000009"/>
          <w:rFonts w:hint="eastAsia"/>
          <w:b w:val="1"/>
          <w:bCs w:val="1"/>
          <w:sz w:val="24"/>
          <w:szCs w:val="24"/>
          <w:lang w:val="en-US" w:eastAsia="zh-CN"/>
        </w:rPr>
        <w:t>主要功能：</w:t>
      </w:r>
      <w:r>
        <w:rPr>
          <w:rStyle w:val="000009"/>
          <w:rFonts w:hint="eastAsia"/>
          <w:sz w:val="24"/>
          <w:szCs w:val="24"/>
          <w:lang w:val="en-US" w:eastAsia="zh-CN"/>
        </w:rPr>
        <w:t>添加、编辑、查询、删除banner轮播配置。</w:t>
      </w:r>
    </w:p>
    <w:p>
      <w:pPr>
        <w:pStyle w:val="000001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68" style="width:415.192pt;height:119.005pt;" o:bordertopcolor="auto" o:borderleftcolor="auto" o:borderbottomcolor="auto" o:borderrightcolor="auto" type="#_x0000_t75">
            <v:imagedata o:title="" r:id="rId48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1.7.3协议公告</w:t>
      </w:r>
    </w:p>
    <w:p>
      <w:pPr>
        <w:pStyle w:val="000001"/>
        <w:rPr>
          <w:rFonts w:hint="eastAsia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涵盖了对系统内各类协议、说明和公告的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增、删、改、查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全生命周期管理。</w:t>
      </w:r>
      <w:r>
        <w:rPr>
          <w:rStyle w:val="00000e"/>
          <w:rFonts w:ascii="Segoe UI" w:hAnsi="Segoe UI" w:eastAsia="Segoe UI" w:cs="Segoe UI"/>
          <w:b w:val="1"/>
          <w:bCs w:val="1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平台运营与合规管理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的重要工具，确保用户能及时看到必要的协议和最新通知</w:t>
      </w:r>
    </w:p>
    <w:p>
      <w:pPr>
        <w:pStyle w:val="000001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69" style="width:415.143pt;height:156.909pt;" o:bordertopcolor="auto" o:borderleftcolor="auto" o:borderbottomcolor="auto" o:borderrightcolor="auto" type="#_x0000_t75">
            <v:imagedata o:title="" r:id="rId49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1.7.4电站标签</w:t>
      </w:r>
    </w:p>
    <w:p>
      <w:pPr>
        <w:pStyle w:val="000001"/>
        <w:rPr>
          <w:rFonts w:hint="eastAsia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为电站创建自定义标签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在管理端添加电站信息时选定电站标签，在充电小程序首页推荐电站时展示给用户，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帮助用户快速识别电站类型或属性。</w:t>
      </w:r>
    </w:p>
    <w:p>
      <w:pPr>
        <w:pStyle w:val="000001"/>
        <w:rPr/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70" style="width:414.545pt;height:184.99pt;" o:bordertopcolor="auto" o:borderleftcolor="auto" o:borderbottomcolor="auto" o:borderrightcolor="auto" type="#_x0000_t75">
            <v:imagedata o:title="" r:id="rId50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1.7.5活动管理</w:t>
      </w:r>
    </w:p>
    <w:p>
      <w:pPr>
        <w:pStyle w:val="000001"/>
        <w:rPr>
          <w:rFonts w:hint="eastAsia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用于创建和管理在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val="en-US" w:eastAsia="zh-CN"/>
        </w:rPr>
        <w:t>充电小程序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上展示的营销活动、推广活动等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吸引用户参与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精准设置活动的展示位置、时间和频次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color="auto" w:fill="ffffff"/>
        </w:rPr>
        <w:t>从创建、上线到结束下线的全过程管理。</w:t>
      </w:r>
    </w:p>
    <w:p>
      <w:pPr>
        <w:pStyle w:val="000001"/>
        <w:rPr>
          <w:lang w:val="en-US" w:eastAsia="zh-CN"/>
        </w:rPr>
      </w:pPr>
      <w:r>
        <w:rPr/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1071" style="width:415.242pt;height:99.099pt;" o:bordertopcolor="auto" o:borderleftcolor="auto" o:borderbottomcolor="auto" o:borderrightcolor="auto" type="#_x0000_t75">
            <v:imagedata o:title="" r:id="rId51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p>
      <w:pPr>
        <w:pStyle w:val="000004"/>
        <w:pBdr/>
        <w:ind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1.8 营销管理</w:t>
      </w:r>
    </w:p>
    <w:p>
      <w:pPr>
        <w:pStyle w:val="000005"/>
        <w:pBdr/>
        <w:ind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1.8.1功能描述</w:t>
      </w:r>
    </w:p>
    <w:p>
      <w:pPr>
        <w:pStyle w:val="000001"/>
        <w:pBdr/>
        <w:ind/>
        <w:rPr>
          <w:i w:val="0"/>
          <w:strike w:val="0"/>
          <w:spacing w:val="0"/>
          <w:u w:val="none"/>
        </w:rPr>
      </w:pPr>
      <w:r>
        <w:rPr>
          <w:i w:val="0"/>
          <w:strike w:val="0"/>
          <w:spacing w:val="0"/>
          <w:u w:val="none"/>
        </w:rPr>
        <w:t>充电平台进行用户增长、提升充电频次与客单价、增强用户粘性的核心运营工具。通过创建多样化的营销活动，并将其组合成套餐进行精准投放，实现数据驱动的精细化运营。</w:t>
      </w:r>
    </w:p>
    <w:p>
      <w:pPr>
        <w:pStyle w:val="000001"/>
        <w:pBdr/>
        <w:ind/>
        <w:rPr>
          <w:rFonts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</w:rPr>
      </w:pPr>
      <w:r>
        <w:rPr>
          <w:rFonts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</w:rPr>
        <w:t>创建和管理最基础的促销单元，是所有营销策略的“基石”。</w:t>
      </w:r>
    </w:p>
    <w:p>
      <w:pPr>
        <w:pStyle w:val="000005"/>
        <w:numPr/>
        <w:pBdr/>
        <w:ind/>
        <w:rPr>
          <w:rFonts w:hint="eastAsia"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  <w:lang w:val="en-US" w:eastAsia="zh-CN"/>
        </w:rPr>
        <w:t>1.8.2营销活动</w:t>
      </w:r>
    </w:p>
    <w:p>
      <w:pPr>
        <w:pStyle w:val="000001"/>
        <w:numPr/>
        <w:pBdr/>
        <w:ind/>
        <w:rPr>
          <w:rFonts w:hint="eastAsia"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</w:rPr>
      </w:pPr>
      <w:r>
        <w:rPr>
          <w:rFonts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</w:rPr>
        <w:t>营销活动模块是平台进行</w:t>
      </w:r>
      <w:r>
        <w:rPr>
          <w:rFonts w:ascii="宋体" w:hAnsi="宋体" w:eastAsia="宋体" w:cs="宋体"/>
          <w:b w:val="1"/>
          <w:i w:val="0"/>
          <w:strike w:val="0"/>
          <w:color w:val="0F1115"/>
          <w:spacing w:val="0"/>
          <w:sz w:val="24"/>
          <w:u w:val="none"/>
          <w:shd w:val="clear" w:color="auto" w:fill="FFFFFF"/>
        </w:rPr>
        <w:t>促销推广、用户拉新与留存</w:t>
      </w:r>
      <w:r>
        <w:rPr>
          <w:rFonts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</w:rPr>
        <w:t>的核心工具，用于创建、管理和监控各类线上营销活动。管理员通过本模块可快速配置活动规则，实现对营销策略的敏捷响应与数据化运营。</w:t>
      </w:r>
      <w:r>
        <w:rPr>
          <w:rFonts w:hint="eastAsia"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</w:rPr>
        <w:t>与营销套餐协同使用，完整实现整个营销策略。</w:t>
      </w:r>
    </w:p>
    <w:p>
      <w:pPr>
        <w:pStyle w:val="000001"/>
        <w:rPr>
          <w:rFonts w:hint="eastAsia" w:ascii="宋体" w:hAnsi="宋体" w:eastAsia="宋体" w:cs="宋体"/>
          <w:b w:val="1"/>
          <w:i w:val="0"/>
          <w:strike w:val="0"/>
          <w:color w:val="0F1115"/>
          <w:spacing w:val="0"/>
          <w:sz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1"/>
          <w:i w:val="0"/>
          <w:strike w:val="0"/>
          <w:color w:val="0F1115"/>
          <w:spacing w:val="0"/>
          <w:sz w:val="24"/>
          <w:u w:val="none"/>
          <w:shd w:val="clear" w:color="auto" w:fill="FFFFFF"/>
          <w:lang w:val="en-US" w:eastAsia="zh-CN"/>
        </w:rPr>
        <w:t>入口：</w:t>
      </w:r>
      <w:r>
        <w:rPr>
          <w:rFonts w:hint="eastAsia"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</w:rPr>
        <w:t>左侧导航栏--&gt;营销管理---&gt;营销活动</w:t>
      </w:r>
    </w:p>
    <w:p>
      <w:pPr>
        <w:pStyle w:val="000006"/>
        <w:numPr>
          <w:ilvl w:val="0"/>
          <w:numId w:val="5"/>
        </w:numPr>
        <w:pBdr/>
        <w:rPr>
          <w:lang w:val="en-US" w:eastAsia="zh-CN"/>
        </w:rPr>
      </w:pPr>
      <w:r>
        <w:rPr>
          <w:lang w:val="en-US" w:eastAsia="zh-CN"/>
        </w:rPr>
        <w:t>筛选查询操作</w:t>
      </w:r>
    </w:p>
    <w:p>
      <w:pPr>
        <w:pStyle w:val="000001"/>
        <w:numPr/>
        <w:pBdr/>
        <w:ind w:left="0"/>
        <w:rPr>
          <w:rFonts w:hint="eastAsia" w:ascii="宋体" w:hAnsi="宋体" w:eastAsia="宋体" w:cs="宋体"/>
          <w:i w:val="0"/>
          <w:strike w:val="0"/>
          <w:color w:val="0F1115"/>
          <w:spacing w:val="0"/>
          <w:sz w:val="23"/>
          <w:u w:val="none"/>
          <w:shd w:val="clear" w:color="auto" w:fill="FFFFFF"/>
        </w:rPr>
      </w:pPr>
      <w:r>
        <w:rPr>
          <w:rFonts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</w:rPr>
        <w:t>本区域用于快速查找和概览所有活动。支持输入完整或部分标题进行模糊查询</w:t>
      </w:r>
      <w:r>
        <w:rPr>
          <w:rFonts w:hint="eastAsia"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</w:rPr>
        <w:t>等</w:t>
      </w:r>
      <w:r>
        <w:rPr>
          <w:rFonts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</w:rPr>
        <w:t>。</w:t>
      </w:r>
      <w:r>
        <w:rPr>
          <w:rFonts w:hint="eastAsia"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</w:rPr>
        <w:t>点击</w:t>
      </w:r>
      <w:r>
        <w:rPr>
          <w:rFonts w:hint="eastAsia" w:ascii="宋体" w:hAnsi="宋体" w:eastAsia="宋体" w:cs="宋体"/>
          <w:b w:val="1"/>
          <w:i w:val="0"/>
          <w:strike w:val="0"/>
          <w:color w:val="0F1115"/>
          <w:spacing w:val="0"/>
          <w:sz w:val="24"/>
          <w:u w:val="none"/>
          <w:shd w:val="clear" w:color="auto" w:fill="FFFFFF"/>
        </w:rPr>
        <w:t>搜索</w:t>
      </w:r>
      <w:r>
        <w:rPr>
          <w:rFonts w:hint="eastAsia"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</w:rPr>
        <w:t>按钮，</w:t>
      </w:r>
      <w:r>
        <w:rPr>
          <w:rFonts w:ascii="宋体" w:hAnsi="宋体" w:eastAsia="宋体" w:cs="宋体"/>
          <w:i w:val="0"/>
          <w:strike w:val="0"/>
          <w:color w:val="0F1115"/>
          <w:spacing w:val="0"/>
          <w:sz w:val="23"/>
          <w:u w:val="none"/>
          <w:shd w:val="clear" w:color="auto" w:fill="FFFFFF"/>
        </w:rPr>
        <w:t>点击后，</w:t>
      </w:r>
      <w:r>
        <w:rPr>
          <w:rFonts w:ascii="宋体" w:hAnsi="宋体" w:eastAsia="宋体" w:cs="宋体"/>
          <w:i w:val="0"/>
          <w:strike w:val="0"/>
          <w:color w:val="0F1115"/>
          <w:spacing w:val="0"/>
          <w:sz w:val="24"/>
          <w:u w:val="none"/>
          <w:shd w:val="clear" w:color="auto" w:fill="FFFFFF"/>
        </w:rPr>
        <w:t>列表将按当前筛选条件刷新</w:t>
      </w:r>
      <w:r>
        <w:rPr>
          <w:rFonts w:ascii="宋体" w:hAnsi="宋体" w:eastAsia="宋体" w:cs="宋体"/>
          <w:i w:val="0"/>
          <w:strike w:val="0"/>
          <w:color w:val="0F1115"/>
          <w:spacing w:val="0"/>
          <w:sz w:val="23"/>
          <w:u w:val="none"/>
          <w:shd w:val="clear" w:color="auto" w:fill="FFFFFF"/>
        </w:rPr>
        <w:t>。</w:t>
      </w:r>
      <w:r>
        <w:rPr>
          <w:rFonts w:hint="eastAsia" w:ascii="宋体" w:hAnsi="宋体" w:eastAsia="宋体" w:cs="宋体"/>
          <w:b w:val="1"/>
          <w:i w:val="0"/>
          <w:strike w:val="0"/>
          <w:color w:val="0F1115"/>
          <w:spacing w:val="0"/>
          <w:sz w:val="23"/>
          <w:u w:val="none"/>
          <w:shd w:val="clear" w:color="auto" w:fill="FFFFFF"/>
        </w:rPr>
        <w:t>重置</w:t>
      </w:r>
      <w:r>
        <w:rPr>
          <w:rFonts w:hint="eastAsia" w:ascii="宋体" w:hAnsi="宋体" w:eastAsia="宋体" w:cs="宋体"/>
          <w:i w:val="0"/>
          <w:strike w:val="0"/>
          <w:color w:val="0F1115"/>
          <w:spacing w:val="0"/>
          <w:sz w:val="23"/>
          <w:u w:val="none"/>
          <w:shd w:val="clear" w:color="auto" w:fill="FFFFFF"/>
        </w:rPr>
        <w:t>按钮，点击清空筛选条件。</w:t>
      </w:r>
    </w:p>
    <w:p>
      <w:pPr>
        <w:pStyle w:val="000001"/>
        <w:ind w:left="0"/>
        <w:rPr>
          <w:rFonts w:hint="eastAsia" w:ascii="宋体" w:hAnsi="宋体" w:eastAsia="宋体" w:cs="宋体"/>
          <w:i w:val="0"/>
          <w:strike w:val="0"/>
          <w:color w:val="0F1115"/>
          <w:spacing w:val="0"/>
          <w:sz w:val="23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strike w:val="0"/>
          <w:color w:val="0F1115"/>
          <w:spacing w:val="0"/>
          <w:sz w:val="23"/>
          <w:u w:val="none"/>
          <w:shd w:val="clear" w:color="auto" w:fill="FFFFFF"/>
          <w:lang w:val="en-US" w:eastAsia="zh-CN"/>
        </w:rPr>
        <w:drawing>
          <wp:inline distT="0" distB="0" distL="0" distR="0">
            <wp:extent cx="5274310" cy="1602364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1">
                    <a:blip r:embed="rId52"/>
                    <a:stretch/>
                  </pic:blipFill>
                  <pic:spPr>
                    <a:xfrm>
                      <a:off x="0" y="0"/>
                      <a:ext cx="5274310" cy="160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6"/>
        <w:numPr>
          <w:ilvl w:val="0"/>
          <w:numId w:val="5"/>
        </w:numPr>
        <w:pBdr/>
        <w:rPr>
          <w:lang w:val="en-US" w:eastAsia="zh-CN"/>
        </w:rPr>
      </w:pPr>
      <w:r>
        <w:rPr>
          <w:lang w:val="en-US" w:eastAsia="zh-CN"/>
        </w:rPr>
        <w:t>新增活动</w:t>
      </w:r>
    </w:p>
    <w:p>
      <w:pPr>
        <w:pStyle w:val="000001"/>
        <w:pBdr/>
        <w:ind w:left="0"/>
        <w:rPr>
          <w:rFonts w:hint="eastAsia" w:ascii="宋体" w:hAnsi="宋体" w:eastAsia="宋体" w:cs="宋体"/>
          <w:i w:val="0"/>
          <w:strike w:val="0"/>
          <w:color w:val="0F1115"/>
          <w:spacing w:val="0"/>
          <w:sz w:val="21"/>
          <w:u w:val="none"/>
          <w:shd w:val="clear" w:color="auto" w:fill="FFFFFF"/>
        </w:rPr>
      </w:pPr>
      <w:r>
        <w:rPr>
          <w:rFonts w:hint="eastAsia"/>
          <w:lang w:val="en-US" w:eastAsia="zh-CN"/>
        </w:rPr>
        <w:t>点击新增按钮</w:t>
      </w:r>
      <w:r>
        <w:rPr>
          <w:rFonts w:ascii="宋体" w:hAnsi="宋体" w:eastAsia="宋体" w:cs="宋体"/>
          <w:i w:val="0"/>
          <w:strike w:val="0"/>
          <w:color w:val="0F1115"/>
          <w:spacing w:val="0"/>
          <w:sz w:val="21"/>
          <w:u w:val="none"/>
          <w:shd w:val="clear" w:color="auto" w:fill="FFFFFF"/>
        </w:rPr>
        <w:t>按钮，进入活动创建表单页面。</w:t>
      </w:r>
      <w:r>
        <w:rPr>
          <w:rFonts w:hint="eastAsia" w:ascii="宋体" w:hAnsi="宋体" w:eastAsia="宋体" w:cs="宋体"/>
          <w:i w:val="0"/>
          <w:strike w:val="0"/>
          <w:color w:val="0F1115"/>
          <w:spacing w:val="0"/>
          <w:sz w:val="21"/>
          <w:u w:val="none"/>
          <w:shd w:val="clear" w:color="auto" w:fill="FFFFFF"/>
        </w:rPr>
        <w:t>填写以下关键信息：活动标题，活动海报，活动规则，优惠叠加，活动的状态，活动的时间段等主要活动信息。</w:t>
      </w:r>
    </w:p>
    <w:p>
      <w:pPr>
        <w:pStyle w:val="000001"/>
        <w:pBdr/>
        <w:ind w:left="0"/>
        <w:rPr>
          <w:rFonts w:hint="eastAsia" w:ascii="宋体" w:hAnsi="宋体" w:eastAsia="宋体" w:cs="宋体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  <w:drawing>
          <wp:inline distT="0" distB="0" distL="0" distR="0">
            <wp:extent cx="5007610" cy="3374545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1">
                    <a:blip r:embed="rId53"/>
                    <a:stretch/>
                  </pic:blipFill>
                  <pic:spPr>
                    <a:xfrm flipH="0" flipV="0">
                      <a:off x="0" y="0"/>
                      <a:ext cx="5007610" cy="33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1"/>
        <w:pBdr/>
        <w:ind w:left="0"/>
        <w:rPr>
          <w:rFonts w:hint="eastAsia" w:ascii="宋体" w:hAnsi="宋体" w:eastAsia="宋体" w:cs="宋体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1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  <w:t>重点信息：</w:t>
      </w:r>
      <w:r>
        <w:rPr>
          <w:rFonts w:hint="eastAsia" w:ascii="宋体" w:hAnsi="宋体" w:eastAsia="宋体" w:cs="宋体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  <w:t>此营销活动为储值业务服务。同一时间段可开启多个活动。</w:t>
      </w:r>
    </w:p>
    <w:p>
      <w:pPr>
        <w:pStyle w:val="000001"/>
        <w:pBdr/>
        <w:ind w:left="0"/>
        <w:rPr>
          <w:rFonts w:hint="eastAsia" w:ascii="宋体" w:hAnsi="宋体" w:eastAsia="宋体" w:cs="宋体"/>
          <w:b w:val="1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1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  <w:t>重要字段解释：</w:t>
      </w:r>
    </w:p>
    <w:p>
      <w:pPr>
        <w:pStyle w:val="000001"/>
        <w:pBdr/>
        <w:ind w:left="0"/>
        <w:rPr>
          <w:rFonts w:ascii="宋体" w:hAnsi="宋体" w:eastAsia="宋体" w:cs="宋体"/>
          <w:i w:val="0"/>
          <w:strike w:val="0"/>
          <w:color w:val="0F1115"/>
          <w:spacing w:val="0"/>
          <w:u w:val="none"/>
          <w:shd w:val="clear" w:color="auto" w:fill="FFFFFF"/>
        </w:rPr>
      </w:pPr>
      <w:r>
        <w:rPr>
          <w:rFonts w:hint="eastAsia" w:ascii="宋体" w:hAnsi="宋体" w:eastAsia="宋体" w:cs="宋体"/>
          <w:b w:val="1"/>
          <w:i w:val="0"/>
          <w:strike w:val="0"/>
          <w:color w:val="FF0000"/>
          <w:spacing w:val="0"/>
          <w:sz w:val="21"/>
          <w:u w:val="none"/>
          <w:shd w:val="clear" w:color="auto" w:fill="FFFFFF"/>
          <w:lang w:val="en-US" w:eastAsia="zh-CN"/>
        </w:rPr>
        <w:t>活动规则：</w:t>
      </w:r>
      <w:r>
        <w:rPr>
          <w:rFonts w:ascii="宋体" w:hAnsi="宋体" w:eastAsia="宋体" w:cs="宋体"/>
          <w:i w:val="0"/>
          <w:strike w:val="0"/>
          <w:color w:val="0F1115"/>
          <w:spacing w:val="0"/>
          <w:u w:val="none"/>
          <w:shd w:val="clear" w:color="auto" w:fill="FFFFFF"/>
        </w:rPr>
        <w:t>详细规则描述，使用富文本编辑器，需明确告知用户参与方式、优惠内容、限制条件等。</w:t>
      </w:r>
    </w:p>
    <w:p>
      <w:pPr>
        <w:pStyle w:val="000001"/>
        <w:pBdr/>
        <w:ind w:left="0"/>
        <w:rPr>
          <w:rFonts w:hint="eastAsia" w:ascii="宋体" w:hAnsi="宋体" w:eastAsia="宋体" w:cs="宋体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1"/>
          <w:i w:val="0"/>
          <w:strike w:val="0"/>
          <w:color w:val="FF0000"/>
          <w:spacing w:val="0"/>
          <w:sz w:val="21"/>
          <w:u w:val="none"/>
          <w:shd w:val="clear" w:color="auto" w:fill="FFFFFF"/>
          <w:lang w:val="en-US" w:eastAsia="zh-CN"/>
        </w:rPr>
        <w:t>活动海报：</w:t>
      </w:r>
      <w:r>
        <w:rPr>
          <w:rFonts w:hint="eastAsia" w:ascii="宋体" w:hAnsi="宋体" w:eastAsia="宋体" w:cs="宋体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  <w:t>开启活动，且在活动时间内的，点击进入充值页面弹窗配置的海报，点击海报可进入具体的活动页面，可关闭海报弹窗，从充值页面悬浮活动窗口进入活动充值页面。由于同一时间可配置多个活动，当前弹出海报为最近时间的一次海报信息。</w:t>
      </w:r>
    </w:p>
    <w:p>
      <w:pPr>
        <w:pStyle w:val="000001"/>
        <w:pBdr/>
        <w:ind w:left="0"/>
        <w:rPr>
          <w:rFonts w:hint="eastAsia" w:ascii="宋体" w:hAnsi="宋体" w:eastAsia="宋体" w:cs="宋体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1"/>
          <w:i w:val="0"/>
          <w:strike w:val="0"/>
          <w:color w:val="FF0000"/>
          <w:spacing w:val="0"/>
          <w:sz w:val="21"/>
          <w:u w:val="none"/>
          <w:shd w:val="clear" w:color="auto" w:fill="FFFFFF"/>
          <w:lang w:val="en-US" w:eastAsia="zh-CN"/>
        </w:rPr>
        <w:t>优惠叠加：</w:t>
      </w:r>
      <w:r>
        <w:rPr>
          <w:rFonts w:hint="eastAsia" w:ascii="宋体" w:hAnsi="宋体" w:eastAsia="宋体" w:cs="宋体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  <w:t>针对于活动是否可以使用优惠券叠加功能，默认不可叠加，开启叠加，如用户有优惠券，且满足使用规则，可在活动页面展示优惠券列表，使用优惠券支付。</w:t>
      </w:r>
    </w:p>
    <w:p>
      <w:pPr>
        <w:pStyle w:val="000001"/>
        <w:pBdr/>
        <w:ind w:left="0"/>
        <w:rPr>
          <w:rFonts w:hint="eastAsia" w:ascii="宋体" w:hAnsi="宋体" w:eastAsia="宋体" w:cs="宋体"/>
          <w:b w:val="1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1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  <w:t>具体小程序端展示示例如下：</w:t>
      </w:r>
    </w:p>
    <w:p>
      <w:pPr>
        <w:pStyle w:val="000001"/>
        <w:pBdr/>
        <w:ind w:left="0"/>
        <w:rPr>
          <w:rFonts w:hint="eastAsia" w:ascii="宋体" w:hAnsi="宋体" w:eastAsia="宋体" w:cs="宋体"/>
          <w:b w:val="1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  <w:t>点击购买进入充值活动页面，如有活动，弹窗海报，点击海报进入充值活动页面，如有活动配置可叠加优惠使用，则展示具体的优惠券信息。也可以通过充值页面的活动浮标进入。</w:t>
      </w:r>
    </w:p>
    <w:p>
      <w:pPr>
        <w:pStyle w:val="000001"/>
        <w:pBdr>
          <w:bottom/>
        </w:pBdr>
        <w:ind w:left="0"/>
        <w:rPr>
          <w:rFonts w:hint="eastAsia" w:ascii="宋体" w:hAnsi="宋体" w:eastAsia="宋体" w:cs="宋体"/>
          <w:b w:val="1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1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  <w:drawing>
          <wp:inline distT="0" distB="0" distL="0" distR="0">
            <wp:extent cx="1621154" cy="3634105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1">
                    <a:blip r:embed="rId54"/>
                    <a:stretch/>
                  </pic:blipFill>
                  <pic:spPr>
                    <a:xfrm flipH="0" flipV="0">
                      <a:off x="0" y="0"/>
                      <a:ext cx="1621154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1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  <w:drawing>
          <wp:inline distT="0" distB="0" distL="0" distR="0">
            <wp:extent cx="1611629" cy="3681730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1">
                    <a:blip r:embed="rId55"/>
                    <a:srcRect/>
                    <a:stretch/>
                  </pic:blipFill>
                  <pic:spPr>
                    <a:xfrm flipH="0" flipV="0">
                      <a:off x="0" y="0"/>
                      <a:ext cx="1611629" cy="3681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1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  <w:drawing>
          <wp:inline distT="0" distB="0" distL="0" distR="0">
            <wp:extent cx="1762125" cy="3676650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1">
                    <a:blip r:embed="rId56"/>
                    <a:srcRect/>
                    <a:stretch/>
                  </pic:blipFill>
                  <pic:spPr>
                    <a:xfrm flipH="0" flipV="0">
                      <a:off x="0" y="0"/>
                      <a:ext cx="1762125" cy="367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000006"/>
        <w:numPr>
          <w:ilvl w:val="0"/>
          <w:numId w:val="5"/>
        </w:numPr>
        <w:pBdr/>
        <w:rPr>
          <w:lang w:val="en-US" w:eastAsia="zh-CN"/>
        </w:rPr>
      </w:pPr>
      <w:r>
        <w:rPr>
          <w:lang w:val="en-US" w:eastAsia="zh-CN"/>
        </w:rPr>
        <w:t>编辑活动</w:t>
      </w:r>
    </w:p>
    <w:p>
      <w:pPr>
        <w:pStyle w:val="000001"/>
        <w:numPr/>
        <w:shd w:val="clear" w:color="auto" w:fill="ffffff"/>
        <w:rPr>
          <w:iCs w:val="0"/>
        </w:rPr>
      </w:pPr>
      <w:r>
        <w:rPr>
          <w:rStyle w:val="00000e"/>
          <w:bCs w:val="1"/>
          <w:iCs w:val="0"/>
        </w:rPr>
        <w:t>操作</w:t>
      </w:r>
      <w:r>
        <w:rPr>
          <w:iCs w:val="0"/>
        </w:rPr>
        <w:t>：点击目标活动所在行的【编辑】按钮，活动留存记录不允许删除，对活动实现精准管控修改。</w:t>
      </w:r>
    </w:p>
    <w:p>
      <w:pPr>
        <w:pStyle w:val="000001"/>
        <w:pBdr/>
        <w:rPr>
          <w:lang w:val="en-US" w:eastAsia="zh-CN"/>
        </w:rPr>
      </w:pPr>
    </w:p>
    <w:p>
      <w:pPr>
        <w:pStyle w:val="000001"/>
        <w:pBdr/>
        <w:ind w:left="0"/>
        <w:rPr>
          <w:lang w:val="en-US" w:eastAsia="zh-CN"/>
        </w:rPr>
      </w:pPr>
      <w:r>
        <w:rPr>
          <w:lang w:val="en-US" w:eastAsia="zh-CN"/>
        </w:rPr>
        <w:drawing>
          <wp:inline distT="0" distB="0" distL="0" distR="0">
            <wp:extent cx="4283710" cy="2731563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1">
                    <a:blip r:embed="rId57"/>
                    <a:srcRect/>
                    <a:stretch/>
                  </pic:blipFill>
                  <pic:spPr>
                    <a:xfrm flipH="0" flipV="0">
                      <a:off x="0" y="0"/>
                      <a:ext cx="4283710" cy="2731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000005"/>
        <w:pBdr/>
        <w:ind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1.8.3营销套餐</w:t>
      </w:r>
    </w:p>
    <w:p>
      <w:pPr>
        <w:pStyle w:val="000001"/>
        <w:pBdr>
          <w:bottom/>
        </w:pBdr>
        <w:ind/>
        <w:rPr/>
      </w:pPr>
      <w:r>
        <w:rPr/>
        <w:t xml:space="preserve">营销套餐模块是平台实现 </w:t>
      </w:r>
      <w:r>
        <w:rPr>
          <w:b w:val="1"/>
        </w:rPr>
        <w:t>“充值赠送”</w:t>
      </w:r>
      <w:r>
        <w:rPr/>
        <w:t xml:space="preserve"> 策略的核心配置中心。运营人员通过此模块将不同面额的充值档位与营销活动进行绑定，包装成标准化的充值套餐，从而激励用户预存金额，提升用户粘性</w:t>
      </w:r>
      <w:r>
        <w:rPr>
          <w:rFonts w:hint="eastAsia"/>
        </w:rPr>
        <w:t>等</w:t>
      </w:r>
      <w:r>
        <w:rPr/>
        <w:t>。</w:t>
      </w:r>
    </w:p>
    <w:p>
      <w:pPr>
        <w:pStyle w:val="000006"/>
        <w:numPr>
          <w:ilvl w:val="0"/>
          <w:numId w:val="6"/>
        </w:numPr>
        <w:pBdr/>
        <w:rPr>
          <w:lang w:val="en-US" w:eastAsia="zh-CN"/>
        </w:rPr>
      </w:pPr>
      <w:r>
        <w:rPr>
          <w:lang w:val="en-US" w:eastAsia="zh-CN"/>
        </w:rPr>
        <w:t>筛选查询</w:t>
      </w:r>
    </w:p>
    <w:p>
      <w:pPr>
        <w:pStyle w:val="000001"/>
        <w:numPr/>
        <w:pBdr/>
        <w:ind w:left="0"/>
        <w:rPr>
          <w:rFonts w:ascii="宋体" w:hAnsi="宋体" w:eastAsia="宋体" w:cs="宋体"/>
          <w:i w:val="0"/>
          <w:strike w:val="0"/>
          <w:color w:val="0F1115"/>
          <w:spacing w:val="0"/>
          <w:sz w:val="21"/>
          <w:u w:val="none"/>
          <w:shd w:val="clear" w:color="auto" w:fill="FFFFFF"/>
        </w:rPr>
      </w:pPr>
      <w:r>
        <w:rPr>
          <w:rFonts w:ascii="宋体" w:hAnsi="宋体" w:eastAsia="宋体" w:cs="宋体"/>
          <w:i w:val="0"/>
          <w:strike w:val="0"/>
          <w:color w:val="0F1115"/>
          <w:spacing w:val="0"/>
          <w:sz w:val="21"/>
          <w:u w:val="none"/>
          <w:shd w:val="clear" w:color="auto" w:fill="FFFFFF"/>
        </w:rPr>
        <w:t>快速查找、管理已创建的充值套餐。</w:t>
      </w:r>
    </w:p>
    <w:p>
      <w:pPr>
        <w:pStyle w:val="000001"/>
        <w:pBdr>
          <w:bottom/>
        </w:pBdr>
        <w:ind w:left="0"/>
        <w:rPr>
          <w:rFonts w:ascii="quote-cjk-patch" w:hAnsi="quote-cjk-patch" w:eastAsia="quote-cjk-patch" w:cs="quote-cjk-patch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</w:pPr>
      <w:r>
        <w:rPr>
          <w:rFonts w:ascii="quote-cjk-patch" w:hAnsi="quote-cjk-patch" w:eastAsia="quote-cjk-patch" w:cs="quote-cjk-patch"/>
          <w:i w:val="0"/>
          <w:strike w:val="0"/>
          <w:color w:val="0F1115"/>
          <w:spacing w:val="0"/>
          <w:sz w:val="21"/>
          <w:u w:val="none"/>
          <w:shd w:val="clear" w:color="auto" w:fill="FFFFFF"/>
          <w:lang w:val="en-US" w:eastAsia="zh-CN"/>
        </w:rPr>
        <w:drawing>
          <wp:inline distT="0" distB="0" distL="0" distR="0">
            <wp:extent cx="5274310" cy="1967552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1">
                    <a:blip r:embed="rId58"/>
                    <a:stretch/>
                  </pic:blipFill>
                  <pic:spPr>
                    <a:xfrm>
                      <a:off x="0" y="0"/>
                      <a:ext cx="5274310" cy="196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6"/>
        <w:numPr>
          <w:ilvl w:val="0"/>
          <w:numId w:val="6"/>
        </w:numPr>
        <w:pBdr/>
        <w:ind/>
        <w:rPr>
          <w:lang w:val="en-US" w:eastAsia="zh-CN"/>
        </w:rPr>
      </w:pPr>
      <w:r>
        <w:rPr>
          <w:lang w:val="en-US" w:eastAsia="zh-CN"/>
        </w:rPr>
        <w:t>新增</w:t>
      </w:r>
    </w:p>
    <w:p>
      <w:pPr>
        <w:pStyle w:val="000001"/>
        <w:pBdr/>
        <w:rPr>
          <w:lang w:val="en-US" w:eastAsia="zh-CN"/>
        </w:rPr>
      </w:pPr>
    </w:p>
    <w:p>
      <w:pPr>
        <w:pStyle w:val="000001"/>
        <w:pBdr/>
        <w:ind w:left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点击新增按钮，弹窗新增营销套餐信息，基本数据如下：套餐名称，金额，赠送金额，实际到账（根据充值、赠送金额计算所得，不需要填写），关联的营销活动（可配置多个活动），状态开关等。</w:t>
      </w:r>
    </w:p>
    <w:p>
      <w:pPr>
        <w:pStyle w:val="000001"/>
        <w:pBdr/>
        <w:ind w:left="0"/>
        <w:rPr>
          <w:rFonts w:hint="eastAsia"/>
          <w:lang w:val="en-US" w:eastAsia="zh-CN"/>
        </w:rPr>
      </w:pPr>
    </w:p>
    <w:p>
      <w:pPr>
        <w:pStyle w:val="000001"/>
        <w:pBdr/>
        <w:ind w:left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0" distR="0">
            <wp:extent cx="5464810" cy="3552392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1">
                    <a:blip r:embed="rId59"/>
                    <a:stretch/>
                  </pic:blipFill>
                  <pic:spPr>
                    <a:xfrm flipH="0" flipV="0">
                      <a:off x="0" y="0"/>
                      <a:ext cx="5464810" cy="355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1"/>
        <w:ind w:left="0"/>
        <w:rPr>
          <w:rFonts w:hint="eastAsia"/>
          <w:lang w:val="en-US" w:eastAsia="zh-CN"/>
        </w:rPr>
      </w:pPr>
    </w:p>
    <w:p>
      <w:pPr>
        <w:pStyle w:val="000006"/>
        <w:numPr>
          <w:ilvl w:val="0"/>
          <w:numId w:val="6"/>
        </w:numPr>
        <w:pBdr/>
        <w:ind/>
        <w:rPr>
          <w:rFonts w:hint="eastAsia"/>
          <w:lang w:val="en-US" w:eastAsia="zh-CN"/>
        </w:rPr>
      </w:pPr>
      <w:r>
        <w:rPr>
          <w:lang w:val="en-US" w:eastAsia="zh-CN"/>
        </w:rPr>
        <w:t>修改</w:t>
      </w:r>
      <w:r>
        <w:rPr>
          <w:rFonts w:hint="eastAsia"/>
          <w:lang w:val="en-US" w:eastAsia="zh-CN"/>
        </w:rPr>
        <w:t>与删除</w:t>
      </w:r>
    </w:p>
    <w:p>
      <w:pPr>
        <w:pStyle w:val="000001"/>
        <w:rPr/>
      </w:pPr>
      <w:r>
        <w:rPr>
          <w:b w:val="1"/>
        </w:rPr>
        <w:t>编辑：</w:t>
      </w:r>
      <w:r>
        <w:rPr/>
        <w:t>在套餐详情页点击 【编辑】 按钮，修改信息后保存。若套餐已被用户购买，修改核心金额需极其谨慎，可能影响已售套餐的履约。</w:t>
      </w:r>
    </w:p>
    <w:p>
      <w:pPr>
        <w:pStyle w:val="000001"/>
        <w:rPr/>
      </w:pPr>
      <w:r>
        <w:rPr>
          <w:b w:val="1"/>
        </w:rPr>
        <w:t>删除：</w:t>
      </w:r>
      <w:r>
        <w:rPr/>
        <w:t>点击 【删除】 按钮。通常只有从未被用户购买过的套餐才允许删除。已产生订单的套餐建议使用“关闭”状态。</w:t>
      </w:r>
    </w:p>
    <w:p>
      <w:pPr>
        <w:pStyle w:val="000001"/>
        <w:pBdr/>
        <w:rPr>
          <w:lang w:val="en-US" w:eastAsia="zh-CN"/>
        </w:rPr>
      </w:pPr>
    </w:p>
    <w:p>
      <w:pPr>
        <w:pStyle w:val="000001"/>
        <w:ind w:left="0"/>
        <w:rPr>
          <w:lang w:val="en-US" w:eastAsia="zh-CN"/>
        </w:rPr>
      </w:pPr>
      <w:r>
        <w:rPr>
          <w:lang w:val="en-US" w:eastAsia="zh-CN"/>
        </w:rPr>
        <w:drawing>
          <wp:inline distT="0" distB="0" distL="0" distR="0">
            <wp:extent cx="4779010" cy="2801144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1">
                    <a:blip r:embed="rId60"/>
                    <a:stretch/>
                  </pic:blipFill>
                  <pic:spPr>
                    <a:xfrm flipH="0" flipV="0">
                      <a:off x="0" y="0"/>
                      <a:ext cx="4779010" cy="280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6"/>
        <w:ind w:left="0"/>
        <w:rPr>
          <w:lang w:val="en-US" w:eastAsia="zh-CN"/>
        </w:rPr>
      </w:pPr>
    </w:p>
    <w:p>
      <w:pPr>
        <w:pStyle w:val="000001"/>
        <w:rPr>
          <w:lang w:val="en-US" w:eastAsia="zh-CN"/>
        </w:rPr>
      </w:pPr>
    </w:p>
    <w:sectPr>
      <w:type w:val="nextPage"/>
      <w:pgSz w:w="11906" w:h="16838"/>
      <w:pgMar w:top="1440" w:right="1800" w:bottom="1440" w:left="1800" w:header="851" w:footer="992" w:gutter="0"/>
      <w:docGrid w:type="lines" w:linePitch="312"/>
    </w:sectPr>
  </w:body>
</w:document>
</file>

<file path=word/fontTable.xml><?xml version="1.0" encoding="utf-8"?>
<w:fonts xmlns:w="http://schemas.openxmlformats.org/wordprocessingml/2006/main">
  <w:font w:name="Segoe UI">
    <w:panose1 w:val="020b0502040204020203"/>
    <w:charset w:val="00" w:characterSet="ISO-8859-1"/>
    <w:family w:val="auto"/>
    <w:pitch w:val="default"/>
    <w:sig w:usb0="E4002EFF" w:usb1="C000E47F" w:usb2="00000009" w:usb3="00000000" w:csb0="200001FF" w:csb1="00000000"/>
  </w:font>
  <w:font w:name="Consolas">
    <w:panose1 w:val="020b0609020204030204"/>
    <w:charset w:val="00" w:characterSet="ISO-8859-1"/>
    <w:family w:val="auto"/>
    <w:pitch w:val="default"/>
    <w:sig w:usb0="E00006FF" w:usb1="0000FCFF" w:usb2="00000001" w:usb3="00000000" w:csb0="6000019F" w:csb1="DFD70000"/>
  </w:font>
  <w:font w:name="Calibri">
    <w:panose1 w:val="020f0502020204030204"/>
    <w:charset w:val="00" w:characterSet="ISO-8859-1"/>
    <w:family w:val="swiss"/>
    <w:pitch w:val="default"/>
    <w:sig w:usb0="E4002EFF" w:usb1="C000247B" w:usb2="00000009" w:usb3="00000000" w:csb0="200001FF" w:csb1="00000000"/>
  </w:font>
  <w:font w:name="宋体">
    <w:panose1 w:val="02010600030101010101"/>
    <w:charset w:val="86" w:characterSet="ISO-8859-1"/>
    <w:family w:val="auto"/>
    <w:pitch w:val="default"/>
    <w:sig w:usb0="00000203" w:usb1="288F0000" w:usb2="00000006" w:usb3="00000000" w:csb0="00040001" w:csb1="00000000"/>
  </w:font>
  <w:font w:name="黑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  <w:font w:name="Times New Roman">
    <w:panose1 w:val="02020603050405020304"/>
    <w:charset w:val="00" w:characterSet="ISO-8859-1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lvl w:ilvl="0">
      <w:start w:val="1"/>
      <w:numFmt w:val="decimal"/>
      <w:lvlText w:val="%1."/>
      <w:lvlJc w:val="left"/>
      <w:pPr>
        <w:ind w:left="336" w:hanging="336"/>
      </w:pPr>
      <w:rPr/>
    </w:lvl>
    <w:lvl w:ilvl="4">
      <w:start w:val="1"/>
      <w:numFmt w:val="decimal"/>
      <w:lvlText w:val="%1.%2.%3.%4.%5."/>
      <w:lvlJc w:val="left"/>
      <w:pPr>
        <w:ind w:left="2688" w:hanging="1008"/>
      </w:pPr>
    </w:lvl>
    <w:lvl w:ilvl="6">
      <w:start w:val="1"/>
      <w:numFmt w:val="decimal"/>
      <w:lvlText w:val="%1.%2.%3.%4.%5.%6.%7."/>
      <w:lvlJc w:val="left"/>
      <w:pPr>
        <w:ind w:left="3864" w:hanging="1344"/>
      </w:pPr>
    </w:lvl>
    <w:lvl w:ilvl="2">
      <w:start w:val="1"/>
      <w:numFmt w:val="decimal"/>
      <w:lvlText w:val="%1.%2.%3."/>
      <w:lvlJc w:val="left"/>
      <w:pPr>
        <w:ind w:left="1512" w:hanging="672"/>
      </w:pPr>
    </w:lvl>
    <w:lvl w:ilvl="3">
      <w:start w:val="1"/>
      <w:numFmt w:val="decimal"/>
      <w:lvlText w:val="%1.%2.%3.%4."/>
      <w:lvlJc w:val="left"/>
      <w:pPr>
        <w:ind w:left="2100" w:hanging="840"/>
      </w:pPr>
    </w:lvl>
    <w:lvl w:ilvl="7">
      <w:start w:val="1"/>
      <w:numFmt w:val="decimal"/>
      <w:lvlText w:val="%1.%2.%3.%4.%5.%6.%7.%8."/>
      <w:lvlJc w:val="left"/>
      <w:pPr>
        <w:ind w:left="4452" w:hanging="1512"/>
      </w:pPr>
    </w:lvl>
    <w:lvl w:ilvl="1">
      <w:start w:val="1"/>
      <w:numFmt w:val="decimal"/>
      <w:lvlText w:val="%1.%2."/>
      <w:lvlJc w:val="left"/>
      <w:pPr>
        <w:ind w:left="924" w:hanging="504"/>
      </w:pPr>
    </w:lvl>
    <w:lvl w:ilvl="8">
      <w:start w:val="1"/>
      <w:numFmt w:val="decimal"/>
      <w:lvlText w:val="%1.%2.%3.%4.%5.%6.%7.%8.%9."/>
      <w:lvlJc w:val="left"/>
      <w:pPr>
        <w:ind w:left="5040" w:hanging="1680"/>
      </w:pPr>
    </w:lvl>
    <w:lvl w:ilvl="5">
      <w:start w:val="1"/>
      <w:numFmt w:val="decimal"/>
      <w:lvlText w:val="%1.%2.%3.%4.%5.%6."/>
      <w:lvlJc w:val="left"/>
      <w:pPr>
        <w:ind w:left="3276" w:hanging="1176"/>
      </w:pPr>
    </w:lvl>
  </w:abstractNum>
  <w:abstractNum w:abstractNumId="1">
    <w:nsid w:val="EFAB3DD8"/>
    <w:multiLevelType w:val="singleLevel"/>
    <w:tmpl w:val="EFAB3DD8"/>
    <w:lvl w:ilvl="0">
      <w:start w:val="1"/>
      <w:numFmt w:val="decimal"/>
      <w:suff w:val="nothing"/>
      <w:lvlText w:val="%1）"/>
      <w:lvlJc w:val="left"/>
      <w:pPr>
        <w:pStyle w:val="000001"/>
      </w:pPr>
    </w:lvl>
  </w:abstractNum>
  <w:abstractNum w:abstractNumId="2">
    <w:nsid w:val="2B9D0525"/>
    <w:multiLevelType w:val="singleLevel"/>
    <w:tmpl w:val="2B9D0525"/>
    <w:lvl w:ilvl="0">
      <w:start w:val="1"/>
      <w:numFmt w:val="chineseCounting"/>
      <w:suff w:val="tab"/>
      <w:lvlText w:val="%1."/>
      <w:lvlJc w:val="left"/>
      <w:pPr>
        <w:pStyle w:val="000001"/>
        <w:tabs>
          <w:tab w:val="num" w:leader="none" w:pos="312"/>
        </w:tabs>
      </w:pPr>
      <w:rPr>
        <w:rFonts w:hint="eastAsia"/>
      </w:rPr>
    </w:lvl>
  </w:abstractNum>
  <w:abstractNum w:abstractNumId="3">
    <w:nsid w:val="786624B1"/>
    <w:multiLevelType w:val="multilevel"/>
    <w:tmpl w:val="786624B1"/>
    <w:lvl w:ilvl="3">
      <w:start w:val="1"/>
      <w:numFmt w:val="decimal"/>
      <w:suff w:val="tab"/>
      <w:lvlText w:val="%1.%2.%3.%4"/>
      <w:lvlJc w:val="left"/>
      <w:pPr>
        <w:pStyle w:val="000001"/>
        <w:ind w:left="864" w:hanging="864"/>
      </w:pPr>
    </w:lvl>
    <w:lvl w:ilvl="5">
      <w:start w:val="1"/>
      <w:numFmt w:val="decimal"/>
      <w:suff w:val="tab"/>
      <w:lvlText w:val="%1.%2.%3.%4.%5.%6"/>
      <w:lvlJc w:val="left"/>
      <w:pPr>
        <w:pStyle w:val="000001"/>
        <w:ind w:left="1152" w:hanging="1152"/>
      </w:pPr>
    </w:lvl>
    <w:lvl w:ilvl="8">
      <w:start w:val="1"/>
      <w:numFmt w:val="decimal"/>
      <w:suff w:val="tab"/>
      <w:lvlText w:val="%1.%2.%3.%4.%5.%6.%7.%8.%9"/>
      <w:lvlJc w:val="left"/>
      <w:pPr>
        <w:pStyle w:val="000001"/>
        <w:ind w:left="1584" w:hanging="1584"/>
      </w:pPr>
    </w:lvl>
    <w:lvl w:ilvl="7">
      <w:start w:val="1"/>
      <w:numFmt w:val="decimal"/>
      <w:suff w:val="tab"/>
      <w:lvlText w:val="%1.%2.%3.%4.%5.%6.%7.%8"/>
      <w:lvlJc w:val="left"/>
      <w:pPr>
        <w:pStyle w:val="000001"/>
        <w:ind w:left="1440" w:hanging="1440"/>
      </w:pPr>
    </w:lvl>
    <w:lvl w:ilvl="2">
      <w:start w:val="1"/>
      <w:numFmt w:val="decimal"/>
      <w:suff w:val="tab"/>
      <w:lvlText w:val="%1.%2.%3"/>
      <w:lvlJc w:val="left"/>
      <w:pPr>
        <w:pStyle w:val="000001"/>
        <w:ind w:left="720" w:hanging="720"/>
      </w:pPr>
    </w:lvl>
    <w:lvl w:ilvl="4">
      <w:start w:val="1"/>
      <w:numFmt w:val="decimal"/>
      <w:suff w:val="tab"/>
      <w:lvlText w:val="%1.%2.%3.%4.%5"/>
      <w:lvlJc w:val="left"/>
      <w:pPr>
        <w:pStyle w:val="000001"/>
        <w:ind w:left="1008" w:hanging="1008"/>
      </w:pPr>
    </w:lvl>
    <w:lvl w:ilvl="6">
      <w:start w:val="1"/>
      <w:numFmt w:val="decimal"/>
      <w:suff w:val="tab"/>
      <w:lvlText w:val="%1.%2.%3.%4.%5.%6.%7"/>
      <w:lvlJc w:val="left"/>
      <w:pPr>
        <w:pStyle w:val="000001"/>
        <w:ind w:left="1296" w:hanging="1296"/>
      </w:pPr>
    </w:lvl>
    <w:lvl w:ilvl="1">
      <w:start w:val="1"/>
      <w:numFmt w:val="decimal"/>
      <w:suff w:val="tab"/>
      <w:lvlText w:val="%1.%2"/>
      <w:lvlJc w:val="left"/>
      <w:pPr>
        <w:pStyle w:val="000001"/>
        <w:ind w:left="576" w:hanging="576"/>
      </w:pPr>
    </w:lvl>
    <w:lvl w:ilvl="0">
      <w:start w:val="1"/>
      <w:numFmt w:val="decimal"/>
      <w:suff w:val="tab"/>
      <w:lvlText w:val="%1"/>
      <w:lvlJc w:val="left"/>
      <w:pPr>
        <w:pStyle w:val="000001"/>
        <w:ind w:left="432" w:hanging="432"/>
      </w:pPr>
    </w:lvl>
  </w:abstractNum>
  <w:abstractNum w:abstractNumId="4">
    <w:lvl w:ilvl="8">
      <w:start w:val="1"/>
      <w:numFmt w:val="decimal"/>
      <w:lvlText w:val="%1.%2.%3.%4.%5.%6.%7.%8.%9."/>
      <w:lvlJc w:val="left"/>
      <w:pPr>
        <w:ind w:left="5040" w:hanging="1680"/>
      </w:pPr>
    </w:lvl>
    <w:lvl w:ilvl="4">
      <w:start w:val="1"/>
      <w:numFmt w:val="decimal"/>
      <w:lvlText w:val="%1.%2.%3.%4.%5."/>
      <w:lvlJc w:val="left"/>
      <w:pPr>
        <w:ind w:left="2688" w:hanging="1008"/>
      </w:pPr>
    </w:lvl>
    <w:lvl w:ilvl="1">
      <w:start w:val="1"/>
      <w:numFmt w:val="decimal"/>
      <w:lvlText w:val="%1.%2."/>
      <w:lvlJc w:val="left"/>
      <w:pPr>
        <w:ind w:left="924" w:hanging="504"/>
      </w:pPr>
    </w:lvl>
    <w:lvl w:ilvl="3">
      <w:start w:val="1"/>
      <w:numFmt w:val="decimal"/>
      <w:lvlText w:val="%1.%2.%3.%4."/>
      <w:lvlJc w:val="left"/>
      <w:pPr>
        <w:ind w:left="2100" w:hanging="840"/>
      </w:pPr>
    </w:lvl>
    <w:lvl w:ilvl="0">
      <w:start w:val="1"/>
      <w:numFmt w:val="decimal"/>
      <w:lvlText w:val="%1."/>
      <w:lvlJc w:val="left"/>
      <w:pPr>
        <w:ind w:left="336" w:hanging="336"/>
      </w:pPr>
      <w:rPr/>
    </w:lvl>
    <w:lvl w:ilvl="7">
      <w:start w:val="1"/>
      <w:numFmt w:val="decimal"/>
      <w:lvlText w:val="%1.%2.%3.%4.%5.%6.%7.%8."/>
      <w:lvlJc w:val="left"/>
      <w:pPr>
        <w:ind w:left="4452" w:hanging="1512"/>
      </w:pPr>
    </w:lvl>
    <w:lvl w:ilvl="5">
      <w:start w:val="1"/>
      <w:numFmt w:val="decimal"/>
      <w:lvlText w:val="%1.%2.%3.%4.%5.%6."/>
      <w:lvlJc w:val="left"/>
      <w:pPr>
        <w:ind w:left="3276" w:hanging="1176"/>
      </w:pPr>
    </w:lvl>
    <w:lvl w:ilvl="2">
      <w:start w:val="1"/>
      <w:numFmt w:val="decimal"/>
      <w:lvlText w:val="%1.%2.%3."/>
      <w:lvlJc w:val="left"/>
      <w:pPr>
        <w:ind w:left="1512" w:hanging="672"/>
      </w:pPr>
    </w:lvl>
    <w:lvl w:ilvl="6">
      <w:start w:val="1"/>
      <w:numFmt w:val="decimal"/>
      <w:lvlText w:val="%1.%2.%3.%4.%5.%6.%7."/>
      <w:lvlJc w:val="left"/>
      <w:pPr>
        <w:ind w:left="3864" w:hanging="1344"/>
      </w:pPr>
    </w:lvl>
  </w:abstractNum>
  <w:abstractNum w:abstractNumId="5">
    <w:nsid w:val="3987994E"/>
    <w:multiLevelType w:val="singleLevel"/>
    <w:tmpl w:val="3987994E"/>
    <w:lvl w:ilvl="0">
      <w:start w:val="3"/>
      <w:numFmt w:val="decimal"/>
      <w:suff w:val="tab"/>
      <w:lvlText w:val="%1."/>
      <w:lvlJc w:val="left"/>
      <w:pPr>
        <w:pStyle w:val="000001"/>
        <w:tabs>
          <w:tab w:val="num" w:leader="none" w:pos="312"/>
        </w:tabs>
      </w:pPr>
    </w:lvl>
  </w:abstractNum>
  <w:num w:numId="1">
    <w:abstractNumId w:val="3"/>
  </w:num>
  <w:num w:numId="4">
    <w:abstractNumId w:val="1"/>
  </w:num>
  <w:num w:numId="2">
    <w:abstractNumId w:val="2"/>
  </w:num>
  <w:num w:numId="3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w="http://schemas.openxmlformats.org/wordprocessingml/2006/main">
  <w:zoom w:percent="93"/>
  <w:stylePaneFormatFilter/>
  <w:defaultTabStop w:val="420"/>
  <w:displayHorizontalDrawingGridEvery w:val="1"/>
  <w:displayVerticalDrawingGridEvery w:val="1"/>
  <w:noPunctuationKerning w:val="1"/>
  <w:characterSpacingControl w:val="compressPunctuation"/>
  <w:footnotePr/>
  <w:compat>
    <w:balanceSingleByteDoubleByteWidth w:val="1"/>
    <w:doNotLeaveBackslashAlone w:val="1"/>
    <w:ulTrailSpace w:val="1"/>
    <w:doNotExpandShiftReturn w:val="1"/>
    <w:adjustLineHeightInTable w:val="1"/>
    <w:doNotWrapTextWithPunct w:val="1"/>
    <w:doNotUseEastAsianBreakRules w:val="1"/>
    <w:useNormalStyleForList w:val="1"/>
    <w:doNotUseIndentAsNumberingTabStop w:val="1"/>
    <w:useAltKinsokuLineBreakRules w:val="1"/>
    <w:allowSpaceOfSameStyleInTable w:val="1"/>
    <w:doNotSuppressIndentation w:val="1"/>
    <w:doNotAutofitConstrainedTables w:val="1"/>
    <w:autofitToFirstFixedWidthCell w:val="1"/>
    <w:displayHangulFixedWidth w:val="1"/>
    <w:splitPgBreakAndParaMark w:val="1"/>
    <w:doNotVertAlignCellWithSp w:val="1"/>
    <w:doNotBreakConstrainedForcedTable w:val="1"/>
    <w:doNotVertAlignInTxbx w:val="1"/>
    <w:useAnsiKerningPairs w:val="1"/>
    <w:cachedColBalance w:val="1"/>
    <w:compatSetting w:name="compatibilityMode" w:uri="http://schemas.microsoft.com/office/word" w:val="11"/>
  </w:compat>
  <w:rsids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宋体" w:cs="Times New Roman"/>
        <w:lang w:val="en-US"/>
      </w:rPr>
    </w:rPrDefault>
    <w:pPrDefault/>
  </w:docDefaults>
  <w:latentStyles w:defLockedState="0" w:defUIPriority="0" w:defSemiHidden="0" w:defUnhideWhenUsed="0" w:defQFormat="0" w:count="376">
    <w:lsdException w:name="List Table 1 Light Accent 6" w:uiPriority="46"/>
    <w:lsdException w:name="Grid Table 1 Light Accent 3" w:uiPriority="46"/>
    <w:lsdException w:name="Grid Table 5 Dark Accent 6" w:uiPriority="50"/>
    <w:lsdException w:name="Table Web 3" w:semiHidden="1" w:unhideWhenUsed="1"/>
    <w:lsdException w:name="List Table 3 Accent 1" w:uiPriority="48"/>
    <w:lsdException w:name="Grid Table 7 Colorful Accent 2" w:uiPriority="52"/>
    <w:lsdException w:name="Grid Table 5 Dark" w:uiPriority="50"/>
    <w:lsdException w:name="Table Classic 3" w:semiHidden="1" w:unhideWhenUsed="1"/>
    <w:lsdException w:name="Medium Grid 1 Accent 3" w:uiPriority="67"/>
    <w:lsdException w:name="Grid Table 3" w:uiPriority="48"/>
    <w:lsdException w:name="List Table 2 Accent 3" w:uiPriority="47"/>
    <w:lsdException w:name="Colorful List Accent 3" w:uiPriority="72"/>
    <w:lsdException w:name="Table Colorful 3" w:semiHidden="1" w:unhideWhenUsed="1"/>
    <w:lsdException w:name="Plain Table 1" w:uiPriority="41"/>
    <w:lsdException w:name="Grid Table 5 Dark Accent 2" w:uiPriority="50"/>
    <w:lsdException w:name="Table Simple 3" w:semiHidden="1" w:unhideWhenUsed="1"/>
    <w:lsdException w:name="Light Shading Accent 4" w:uiPriority="60"/>
    <w:lsdException w:name="Dark List Accent 6" w:uiPriority="70"/>
    <w:lsdException w:name="List Table 4 Accent 6" w:uiPriority="49"/>
    <w:lsdException w:name="Medium List 1 Accent 2" w:uiPriority="65"/>
    <w:lsdException w:name="List Table 4" w:uiPriority="49"/>
    <w:lsdException w:name="Grid Table 4" w:uiPriority="49"/>
    <w:lsdException w:name="List Paragraph" w:uiPriority="99"/>
    <w:lsdException w:name="toc 5" w:uiPriority="99"/>
    <w:lsdException w:name="Table Grid 8" w:semiHidden="1" w:unhideWhenUsed="1"/>
    <w:lsdException w:name="HTML Typewriter" w:uiPriority="99"/>
    <w:lsdException w:name="Grid Table 6 Colorful" w:uiPriority="51"/>
    <w:lsdException w:name="Medium List 2" w:uiPriority="66"/>
    <w:lsdException w:name="Grid Table 3 Accent 2" w:uiPriority="48"/>
    <w:lsdException w:name="Light Grid Accent 1" w:uiPriority="62"/>
    <w:lsdException w:name="Strong" w:qFormat="1"/>
    <w:lsdException w:name="List Table 7 Colorful Accent 4" w:uiPriority="52"/>
    <w:lsdException w:name="List Table 5 Dark Accent 2" w:uiPriority="50"/>
    <w:lsdException w:name="List Table 3 Accent 4" w:uiPriority="48"/>
    <w:lsdException w:name="Default Paragraph Font" w:uiPriority="1" w:semiHidden="1" w:unhideWhenUsed="1"/>
    <w:lsdException w:name="Grid Table Light" w:uiPriority="40"/>
    <w:lsdException w:name="List Table 1 Light Accent 5" w:uiPriority="46"/>
    <w:lsdException w:name="List Table 6 Colorful Accent 6" w:uiPriority="51"/>
    <w:lsdException w:name="Table Grid 6" w:semiHidden="1" w:unhideWhenUsed="1"/>
    <w:lsdException w:name="List Table 6 Colorful Accent 1" w:uiPriority="51"/>
    <w:lsdException w:name="Dark List" w:uiPriority="70"/>
    <w:lsdException w:name="Grid Table 5 Dark Accent 3" w:uiPriority="50"/>
    <w:lsdException w:name="footnote text" w:uiPriority="99" w:semiHidden="1" w:unhideWhenUsed="1"/>
    <w:lsdException w:name="Medium Shading 1 Accent 2" w:uiPriority="63"/>
    <w:lsdException w:name="Medium Shading 1 Accent 3" w:uiPriority="63"/>
    <w:lsdException w:name="Medium Shading 2 Accent 6" w:uiPriority="64"/>
    <w:lsdException w:name="Intense Reference" w:uiPriority="32" w:qFormat="1"/>
    <w:lsdException w:name="Table List 8" w:semiHidden="1" w:unhideWhenUsed="1"/>
    <w:lsdException w:name="toc 3" w:uiPriority="99"/>
    <w:lsdException w:name="Outline List 2" w:uiPriority="99" w:semiHidden="1" w:unhideWhenUsed="1"/>
    <w:lsdException w:name="List Table 1 Light Accent 2" w:uiPriority="46"/>
    <w:lsdException w:name="Grid Table 1 Light Accent 4" w:uiPriority="46"/>
    <w:lsdException w:name="Medium List 2 Accent 4" w:uiPriority="66"/>
    <w:lsdException w:name="Subtle Emphasis" w:uiPriority="19" w:qFormat="1"/>
    <w:lsdException w:name="Grid Table 5 Dark Accent 4" w:uiPriority="50"/>
    <w:lsdException w:name="Book Title" w:uiPriority="33" w:qFormat="1"/>
    <w:lsdException w:name="List Table 6 Colorful Accent 2" w:uiPriority="51"/>
    <w:lsdException w:name="Colorful Shading Accent 1" w:uiPriority="71"/>
    <w:lsdException w:name="List Table 4 Accent 3" w:uiPriority="49"/>
    <w:lsdException w:name="Grid Table 1 Light" w:uiPriority="46"/>
    <w:lsdException w:name="List Table 7 Colorful" w:uiPriority="52"/>
    <w:lsdException w:name="Grid Table 3 Accent 3" w:uiPriority="48"/>
    <w:lsdException w:name="Medium List 1 Accent 1" w:uiPriority="65"/>
    <w:lsdException w:name="Light List Accent 5" w:uiPriority="61"/>
    <w:lsdException w:name="toc 4" w:uiPriority="99"/>
    <w:lsdException w:name="Colorful List Accent 6" w:uiPriority="72"/>
    <w:lsdException w:name="List Table 5 Dark Accent 3" w:uiPriority="50"/>
    <w:lsdException w:name="Light Grid Accent 5" w:uiPriority="62"/>
    <w:lsdException w:name="Colorful List Accent 5" w:uiPriority="72"/>
    <w:lsdException w:name="List Table 7 Colorful Accent 6" w:uiPriority="52"/>
    <w:lsdException w:name="Grid Table 4 Accent 5" w:uiPriority="49"/>
    <w:lsdException w:name="Table Classic 4" w:semiHidden="1" w:unhideWhenUsed="1"/>
    <w:lsdException w:name="List Table 7 Colorful Accent 1" w:uiPriority="52"/>
    <w:lsdException w:name="Medium Grid 1 Accent 2" w:uiPriority="67"/>
    <w:lsdException w:name="Medium Grid 3 Accent 2" w:uiPriority="69"/>
    <w:lsdException w:name="heading 9" w:unhideWhenUsed="1" w:qFormat="1"/>
    <w:lsdException w:name="Medium Grid 3 Accent 3" w:uiPriority="69"/>
    <w:lsdException w:name="Table Classic 2" w:semiHidden="1" w:unhideWhenUsed="1"/>
    <w:lsdException w:name="Table List 1" w:semiHidden="1" w:unhideWhenUsed="1"/>
    <w:lsdException w:name="Table Contemporary" w:semiHidden="1" w:unhideWhenUsed="1"/>
    <w:lsdException w:name="List Table 3 Accent 6" w:uiPriority="48"/>
    <w:lsdException w:name="Medium List 1 Accent 4" w:uiPriority="65"/>
    <w:lsdException w:name="No List" w:uiPriority="99" w:semiHidden="1" w:unhideWhenUsed="1"/>
    <w:lsdException w:name="List Table 5 Dark Accent 6" w:uiPriority="50"/>
    <w:lsdException w:name="heading 8" w:unhideWhenUsed="1" w:qFormat="1"/>
    <w:lsdException w:name="Hashtag" w:uiPriority="99" w:semiHidden="1" w:unhideWhenUsed="1"/>
    <w:lsdException w:name="List Table 4 Accent 4" w:uiPriority="49"/>
    <w:lsdException w:name="Grid Table 6 Colorful Accent 5" w:uiPriority="51"/>
    <w:lsdException w:name="Grid Table 7 Colorful Accent 6" w:uiPriority="52"/>
    <w:lsdException w:name="Colorful List Accent 1" w:uiPriority="72"/>
    <w:lsdException w:name="Plain Table 4" w:uiPriority="44"/>
    <w:lsdException w:name="Grid Table 6 Colorful Accent 3" w:uiPriority="51"/>
    <w:lsdException w:name="Table List 7" w:semiHidden="1" w:unhideWhenUsed="1"/>
    <w:lsdException w:name="List Table 3 Accent 2" w:uiPriority="48"/>
    <w:lsdException w:name="Grid Table 7 Colorful Accent 4" w:uiPriority="52"/>
    <w:lsdException w:name="Light List Accent 2" w:uiPriority="61"/>
    <w:lsdException w:name="Table Colorful 2" w:semiHidden="1" w:unhideWhenUsed="1"/>
    <w:lsdException w:name="Table Professional" w:semiHidden="1" w:unhideWhenUsed="1"/>
    <w:lsdException w:name="Grid Table 6 Colorful Accent 2" w:uiPriority="51"/>
    <w:lsdException w:name="Medium Grid 2 Accent 4" w:uiPriority="68"/>
    <w:lsdException w:name="Medium Shading 2 Accent 1" w:uiPriority="64"/>
    <w:lsdException w:name="caption" w:semiHidden="1" w:unhideWhenUsed="1" w:qFormat="1"/>
    <w:lsdException w:name="Table List 5" w:semiHidden="1" w:unhideWhenUsed="1"/>
    <w:lsdException w:name="HTML Sample" w:uiPriority="99"/>
    <w:lsdException w:name="Table Columns 4" w:semiHidden="1" w:unhideWhenUsed="1"/>
    <w:lsdException w:name="Subtle Reference" w:uiPriority="31" w:qFormat="1"/>
    <w:lsdException w:name="Medium Grid 1 Accent 1" w:uiPriority="67"/>
    <w:lsdException w:name="Quote" w:uiPriority="99"/>
    <w:lsdException w:name="Table Elegant" w:semiHidden="1" w:unhideWhenUsed="1"/>
    <w:lsdException w:name="Light List Accent 1" w:uiPriority="61"/>
    <w:lsdException w:name="Grid Table 6 Colorful Accent 4" w:uiPriority="51"/>
    <w:lsdException w:name="Grid Table 2 Accent 1" w:uiPriority="47"/>
    <w:lsdException w:name="Table Subtle 1" w:semiHidden="1" w:unhideWhenUsed="1"/>
    <w:lsdException w:name="Table Columns 3" w:semiHidden="1" w:unhideWhenUsed="1"/>
    <w:lsdException w:name="Colorful List Accent 2" w:uiPriority="72"/>
    <w:lsdException w:name="Outline List 1" w:uiPriority="99" w:semiHidden="1" w:unhideWhenUsed="1"/>
    <w:lsdException w:name="Grid Table 3 Accent 5" w:uiPriority="48"/>
    <w:lsdException w:name="Table 3D effects 1" w:semiHidden="1" w:unhideWhenUsed="1"/>
    <w:lsdException w:name="Table Grid 2" w:semiHidden="1" w:unhideWhenUsed="1"/>
    <w:lsdException w:name="Mention" w:uiPriority="99" w:semiHidden="1" w:unhideWhenUsed="1"/>
    <w:lsdException w:name="Medium Shading 1 Accent 5" w:uiPriority="63"/>
    <w:lsdException w:name="Outline List 3" w:uiPriority="99" w:semiHidden="1" w:unhideWhenUsed="1"/>
    <w:lsdException w:name="Bibliography" w:uiPriority="37" w:semiHidden="1" w:unhideWhenUsed="1"/>
    <w:lsdException w:name="List Table 3 Accent 3" w:uiPriority="48"/>
    <w:lsdException w:name="List Table 2 Accent 1" w:uiPriority="47"/>
    <w:lsdException w:name="Light Grid Accent 2" w:uiPriority="62"/>
    <w:lsdException w:name="Medium List 1 Accent 6" w:uiPriority="65"/>
    <w:lsdException w:name="heading 7" w:unhideWhenUsed="1" w:qFormat="1"/>
    <w:lsdException w:name="Light Shading Accent 3" w:uiPriority="60"/>
    <w:lsdException w:name="Emphasis" w:qFormat="1"/>
    <w:lsdException w:name="Plain Table 3" w:uiPriority="43"/>
    <w:lsdException w:name="Normal Table" w:uiPriority="99" w:semiHidden="1" w:unhideWhenUsed="1"/>
    <w:lsdException w:name="List Table 2 Accent 4" w:uiPriority="47"/>
    <w:lsdException w:name="HTML Bottom of Form" w:uiPriority="99" w:semiHidden="1" w:unhideWhenUsed="1"/>
    <w:lsdException w:name="List Table 6 Colorful" w:uiPriority="51"/>
    <w:lsdException w:name="Table Classic 1" w:semiHidden="1" w:unhideWhenUsed="1"/>
    <w:lsdException w:name="List Table 7 Colorful Accent 5" w:uiPriority="52"/>
    <w:lsdException w:name="toc 2" w:uiPriority="99"/>
    <w:lsdException w:name="Light Shading Accent 1" w:uiPriority="60"/>
    <w:lsdException w:name="List Table 4 Accent 2" w:uiPriority="49"/>
    <w:lsdException w:name="List Table 2 Accent 6" w:uiPriority="47"/>
    <w:lsdException w:name="HTML Definition" w:uiPriority="99"/>
    <w:lsdException w:name="Grid Table 3 Accent 4" w:uiPriority="48"/>
    <w:lsdException w:name="Table 3D effects 2" w:semiHidden="1" w:unhideWhenUsed="1"/>
    <w:lsdException w:name="toc 6" w:uiPriority="99"/>
    <w:lsdException w:name="Medium Shading 1 Accent 1" w:uiPriority="63"/>
    <w:lsdException w:name="List Table 6 Colorful Accent 5" w:uiPriority="51"/>
    <w:lsdException w:name="toc 7" w:uiPriority="99"/>
    <w:lsdException w:name="List Table 1 Light Accent 1" w:uiPriority="46"/>
    <w:lsdException w:name="Medium Grid 2 Accent 6" w:uiPriority="68"/>
    <w:lsdException w:name="Grid Table 1 Light Accent 2" w:uiPriority="46"/>
    <w:lsdException w:name="Table List 3" w:semiHidden="1" w:unhideWhenUsed="1"/>
    <w:lsdException w:name="HTML Cite" w:uiPriority="99"/>
    <w:lsdException w:name="Grid Table 2 Accent 3" w:uiPriority="47"/>
    <w:lsdException w:name="Intense Emphasis" w:uiPriority="21" w:qFormat="1"/>
    <w:lsdException w:name="TOC Heading" w:uiPriority="39" w:semiHidden="1" w:unhideWhenUsed="1" w:qFormat="1"/>
    <w:lsdException w:name="Medium Shading 2" w:uiPriority="64"/>
    <w:lsdException w:name="Medium Shading 1" w:uiPriority="63"/>
    <w:lsdException w:name="Table 3D effects 3" w:semiHidden="1" w:unhideWhenUsed="1"/>
    <w:lsdException w:name="Medium Shading 2 Accent 2" w:uiPriority="64"/>
    <w:lsdException w:name="Colorful Shading" w:uiPriority="71"/>
    <w:lsdException w:name="List Table 3" w:uiPriority="48"/>
    <w:lsdException w:name="Medium Grid 1 Accent 4" w:uiPriority="67"/>
    <w:lsdException w:name="Smart Hyperlink" w:uiPriority="99" w:semiHidden="1" w:unhideWhenUsed="1"/>
    <w:lsdException w:name="toc 1" w:uiPriority="99"/>
    <w:lsdException w:name="Medium Grid 1 Accent 6" w:uiPriority="67"/>
    <w:lsdException w:name="heading 4" w:qFormat="1"/>
    <w:lsdException w:name="List Table 7 Colorful Accent 2" w:uiPriority="52"/>
    <w:lsdException w:name="Dark List Accent 5" w:uiPriority="70"/>
    <w:lsdException w:name="Light Shading" w:uiPriority="60"/>
    <w:lsdException w:name="Smart Link" w:uiPriority="99" w:semiHidden="1" w:unhideWhenUsed="1"/>
    <w:lsdException w:name="Grid Table 6 Colorful Accent 6" w:uiPriority="51"/>
    <w:lsdException w:name="Medium Shading 2 Accent 5" w:uiPriority="64"/>
    <w:lsdException w:name="Grid Table 1 Light Accent 1" w:uiPriority="46"/>
    <w:lsdException w:name="Revision" w:uiPriority="99" w:semiHidden="1"/>
    <w:lsdException w:name="Grid Table 3 Accent 1" w:uiPriority="48"/>
    <w:lsdException w:name="Table Grid" w:qFormat="1"/>
    <w:lsdException w:name="Light List Accent 4" w:uiPriority="61"/>
    <w:lsdException w:name="Table Columns 5" w:semiHidden="1" w:unhideWhenUsed="1"/>
    <w:lsdException w:name="Medium List 2 Accent 5" w:uiPriority="66"/>
    <w:lsdException w:name="Light Shading Accent 5" w:uiPriority="60"/>
    <w:lsdException w:name="Subtitle" w:qFormat="1"/>
    <w:lsdException w:name="Medium List 1" w:uiPriority="65"/>
    <w:lsdException w:name="List Table 3 Accent 5" w:uiPriority="48"/>
    <w:lsdException w:name="Table Columns 2" w:semiHidden="1" w:unhideWhenUsed="1"/>
    <w:lsdException w:name="Grid Table 5 Dark Accent 1" w:uiPriority="50"/>
    <w:lsdException w:name="Colorful Grid Accent 3" w:uiPriority="73"/>
    <w:lsdException w:name="Colorful Grid Accent 1" w:uiPriority="73"/>
    <w:lsdException w:name="Medium Grid 2 Accent 3" w:uiPriority="68"/>
    <w:lsdException w:name="List Table 4 Accent 1" w:uiPriority="49"/>
    <w:lsdException w:name="Medium Grid 3" w:uiPriority="69"/>
    <w:lsdException w:name="HTML Preformatted" w:uiPriority="99"/>
    <w:lsdException w:name="Grid Table 5 Dark Accent 5" w:uiPriority="50"/>
    <w:lsdException w:name="List Table 4 Accent 5" w:uiPriority="49"/>
    <w:lsdException w:name="Medium Grid 3 Accent 6" w:uiPriority="69"/>
    <w:lsdException w:name="Colorful Shading Accent 2" w:uiPriority="71"/>
    <w:lsdException w:name="Medium List 2 Accent 1" w:uiPriority="66"/>
    <w:lsdException w:name="Dark List Accent 3" w:uiPriority="70"/>
    <w:lsdException w:name="heading 6" w:qFormat="1"/>
    <w:lsdException w:name="List Table 5 Dark Accent 1" w:uiPriority="50"/>
    <w:lsdException w:name="Medium Shading 2 Accent 3" w:uiPriority="64"/>
    <w:lsdException w:name="Grid Table 7 Colorful" w:uiPriority="52"/>
    <w:lsdException w:name="Medium Shading 2 Accent 4" w:uiPriority="64"/>
    <w:lsdException w:name="No Spacing" w:uiPriority="99"/>
    <w:lsdException w:name="Normal" w:qFormat="1"/>
    <w:lsdException w:name="HTML Address" w:uiPriority="99"/>
    <w:lsdException w:name="Table Web 1" w:semiHidden="1" w:unhideWhenUsed="1"/>
    <w:lsdException w:name="Grid Table 2 Accent 2" w:uiPriority="47"/>
    <w:lsdException w:name="Colorful Grid Accent 6" w:uiPriority="73"/>
    <w:lsdException w:name="Table Subtle 2" w:semiHidden="1" w:unhideWhenUsed="1"/>
    <w:lsdException w:name="toc 8" w:uiPriority="99"/>
    <w:lsdException w:name="Table Grid 3" w:semiHidden="1" w:unhideWhenUsed="1"/>
    <w:lsdException w:name="List Table 6 Colorful Accent 4" w:uiPriority="51"/>
    <w:lsdException w:name="Table Simple 1" w:semiHidden="1" w:unhideWhenUsed="1"/>
    <w:lsdException w:name="Table List 4" w:semiHidden="1" w:unhideWhenUsed="1"/>
    <w:lsdException w:name="heading 1" w:qFormat="1"/>
    <w:lsdException w:name="Grid Table 2" w:uiPriority="47"/>
    <w:lsdException w:name="Grid Table 7 Colorful Accent 1" w:uiPriority="52"/>
    <w:lsdException w:name="HTML Acronym" w:uiPriority="99"/>
    <w:lsdException w:name="Light Grid Accent 4" w:uiPriority="62"/>
    <w:lsdException w:name="List Table 1 Light Accent 4" w:uiPriority="46"/>
    <w:lsdException w:name="Table Colorful 1" w:semiHidden="1" w:unhideWhenUsed="1"/>
    <w:lsdException w:name="heading 2" w:qFormat="1"/>
    <w:lsdException w:name="Table Grid 5" w:semiHidden="1" w:unhideWhenUsed="1"/>
    <w:lsdException w:name="HTML Variable" w:uiPriority="99"/>
    <w:lsdException w:name="Grid Table 7 Colorful Accent 5" w:uiPriority="52"/>
    <w:lsdException w:name="Grid Table 4 Accent 2" w:uiPriority="49"/>
    <w:lsdException w:name="Dark List Accent 2" w:uiPriority="70"/>
    <w:lsdException w:name="Medium Grid 2 Accent 5" w:uiPriority="68"/>
    <w:lsdException w:name="Dark List Accent 1" w:uiPriority="70"/>
    <w:lsdException w:name="Colorful Shading Accent 4" w:uiPriority="71"/>
    <w:lsdException w:name="Colorful Shading Accent 5" w:uiPriority="71"/>
    <w:lsdException w:name="Light List Accent 3" w:uiPriority="61"/>
    <w:lsdException w:name="List Table 7 Colorful Accent 3" w:uiPriority="52"/>
    <w:lsdException w:name="Colorful Grid Accent 2" w:uiPriority="73"/>
    <w:lsdException w:name="Medium Grid 1" w:uiPriority="67"/>
    <w:lsdException w:name="Colorful List" w:uiPriority="72"/>
    <w:lsdException w:name="List Table 5 Dark" w:uiPriority="50"/>
    <w:lsdException w:name="List Table 6 Colorful Accent 3" w:uiPriority="51"/>
    <w:lsdException w:name="Colorful Grid Accent 5" w:uiPriority="73"/>
    <w:lsdException w:name="toc 9" w:uiPriority="99"/>
    <w:lsdException w:name="Medium Grid 3 Accent 4" w:uiPriority="69"/>
    <w:lsdException w:name="Table Grid 4" w:semiHidden="1" w:unhideWhenUsed="1"/>
    <w:lsdException w:name="Medium List 2 Accent 2" w:uiPriority="66"/>
    <w:lsdException w:name="Medium Grid 2 Accent 1" w:uiPriority="68"/>
    <w:lsdException w:name="Title" w:qFormat="1"/>
    <w:lsdException w:name="List Table 5 Dark Accent 5" w:uiPriority="50"/>
    <w:lsdException w:name="Colorful Grid" w:uiPriority="73"/>
    <w:lsdException w:name="List Table 5 Dark Accent 4" w:uiPriority="50"/>
    <w:lsdException w:name="Medium Grid 3 Accent 1" w:uiPriority="69"/>
    <w:lsdException w:name="List Table 2 Accent 5" w:uiPriority="47"/>
    <w:lsdException w:name="Intense Quote" w:uiPriority="99"/>
    <w:lsdException w:name="footnote reference" w:uiPriority="99" w:semiHidden="1" w:unhideWhenUsed="1"/>
    <w:lsdException w:name="Grid Table 2 Accent 6" w:uiPriority="47"/>
    <w:lsdException w:name="Table Columns 1" w:semiHidden="1" w:unhideWhenUsed="1"/>
    <w:lsdException w:name="Unresolved Mention" w:uiPriority="99" w:semiHidden="1" w:unhideWhenUsed="1"/>
    <w:lsdException w:name="Grid Table 3 Accent 6" w:uiPriority="48"/>
    <w:lsdException w:name="Medium Grid 2 Accent 2" w:uiPriority="68"/>
    <w:lsdException w:name="Grid Table 4 Accent 6" w:uiPriority="49"/>
    <w:lsdException w:name="Grid Table 4 Accent 4" w:uiPriority="49"/>
    <w:lsdException w:name="List Table 2" w:uiPriority="47"/>
    <w:lsdException w:name="Medium List 2 Accent 6" w:uiPriority="66"/>
    <w:lsdException w:name="Light List" w:uiPriority="61"/>
    <w:lsdException w:name="Colorful Grid Accent 4" w:uiPriority="73"/>
    <w:lsdException w:name="Colorful Shading Accent 6" w:uiPriority="71"/>
    <w:lsdException w:name="Plain Table 2" w:uiPriority="42"/>
    <w:lsdException w:name="Light Grid Accent 6" w:uiPriority="62"/>
    <w:lsdException w:name="Medium Grid 3 Accent 5" w:uiPriority="69"/>
    <w:lsdException w:name="Medium Grid 1 Accent 5" w:uiPriority="67"/>
    <w:lsdException w:name="Light List Accent 6" w:uiPriority="61"/>
    <w:lsdException w:name="Light Shading Accent 6" w:uiPriority="60"/>
    <w:lsdException w:name="Grid Table 1 Light Accent 6" w:uiPriority="46"/>
    <w:lsdException w:name="Medium List 2 Accent 3" w:uiPriority="66"/>
    <w:lsdException w:name="Placeholder Text" w:uiPriority="99" w:semiHidden="1"/>
    <w:lsdException w:name="Light Grid Accent 3" w:uiPriority="62"/>
    <w:lsdException w:name="Grid Table 4 Accent 1" w:uiPriority="49"/>
    <w:lsdException w:name="Grid Table 2 Accent 4" w:uiPriority="47"/>
    <w:lsdException w:name="Light Grid" w:uiPriority="62"/>
    <w:lsdException w:name="Medium Shading 1 Accent 4" w:uiPriority="63"/>
    <w:lsdException w:name="Table Web 2" w:semiHidden="1" w:unhideWhenUsed="1"/>
    <w:lsdException w:name="Plain Table 5" w:uiPriority="45"/>
    <w:lsdException w:name="Table List 2" w:semiHidden="1" w:unhideWhenUsed="1"/>
    <w:lsdException w:name="Grid Table 4 Accent 3" w:uiPriority="49"/>
    <w:lsdException w:name="HTML Code" w:uiPriority="99"/>
    <w:lsdException w:name="Grid Table 6 Colorful Accent 1" w:uiPriority="51"/>
    <w:lsdException w:name="heading 3" w:qFormat="1"/>
    <w:lsdException w:name="Medium Shading 1 Accent 6" w:uiPriority="63"/>
    <w:lsdException w:name="Colorful List Accent 4" w:uiPriority="72"/>
    <w:lsdException w:name="Medium List 1 Accent 5" w:uiPriority="65"/>
    <w:lsdException w:name="Grid Table 1 Light Accent 5" w:uiPriority="46"/>
    <w:lsdException w:name="Medium Grid 2" w:uiPriority="68"/>
    <w:lsdException w:name="List Table 2 Accent 2" w:uiPriority="47"/>
    <w:lsdException w:name="Grid Table 2 Accent 5" w:uiPriority="47"/>
    <w:lsdException w:name="Table Grid 1" w:semiHidden="1" w:unhideWhenUsed="1"/>
    <w:lsdException w:name="List Table 1 Light" w:uiPriority="46"/>
    <w:lsdException w:name="heading 5" w:qFormat="1"/>
    <w:lsdException w:name="Table Simple 2" w:semiHidden="1" w:unhideWhenUsed="1"/>
    <w:lsdException w:name="Table Grid 7" w:semiHidden="1" w:unhideWhenUsed="1"/>
    <w:lsdException w:name="Table Theme" w:semiHidden="1" w:unhideWhenUsed="1"/>
    <w:lsdException w:name="Colorful Shading Accent 3" w:uiPriority="71"/>
    <w:lsdException w:name="Medium List 1 Accent 3" w:uiPriority="65"/>
    <w:lsdException w:name="HTML Top of Form" w:uiPriority="99" w:semiHidden="1" w:unhideWhenUsed="1"/>
    <w:lsdException w:name="Grid Table 7 Colorful Accent 3" w:uiPriority="52"/>
    <w:lsdException w:name="Light Shading Accent 2" w:uiPriority="60"/>
    <w:lsdException w:name="Table List 6" w:semiHidden="1" w:unhideWhenUsed="1"/>
    <w:lsdException w:name="HTML Keyboard" w:uiPriority="99"/>
    <w:lsdException w:name="List Table 1 Light Accent 3" w:uiPriority="46"/>
    <w:lsdException w:name="Dark List Accent 4" w:uiPriority="70"/>
  </w:latentStyles>
  <w:style w:type="character" w:styleId="00000f">
    <w:name w:val="Emphasis"/>
    <w:basedOn w:val="000009"/>
    <w:next w:val="00000f"/>
    <w:link w:val="000001"/>
    <w:rPr>
      <w:i w:val="1"/>
    </w:rPr>
  </w:style>
  <w:style w:type="table" w:styleId="00000a">
    <w:name w:val="Normal Table"/>
    <w:next w:val="00000a"/>
    <w:link w:val="000001"/>
    <w:semiHidden w:val="1"/>
    <w:qFormat w:val="1"/>
  </w:style>
  <w:style w:type="character" w:styleId="00000e">
    <w:name w:val="Strong"/>
    <w:basedOn w:val="000009"/>
    <w:next w:val="00000e"/>
    <w:link w:val="000001"/>
    <w:rPr>
      <w:b w:val="1"/>
    </w:rPr>
  </w:style>
  <w:style w:type="paragraph" w:styleId="000001">
    <w:name w:val="Normal"/>
    <w:aliases w:val="正文"/>
    <w:next w:val="000001"/>
    <w:link w:val="000001"/>
    <w:qFormat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styleId="cktyqm">
    <w:name w:val="Hyperlink"/>
    <w:basedOn w:val="000009"/>
    <w:next w:val=""/>
    <w:uiPriority w:val="99"/>
    <w:unhideWhenUsed w:val="1"/>
    <w:rPr>
      <w:color w:val="1E6FFF" w:themeColor="hyperlink"/>
      <w:u w:val="single"/>
    </w:rPr>
  </w:style>
  <w:style w:type="paragraph" w:styleId="000002">
    <w:name w:val="heading 1"/>
    <w:basedOn w:val="000001"/>
    <w:next w:val="000001"/>
    <w:link w:val="000001"/>
    <w:qFormat w:val="1"/>
    <w:pPr>
      <w:keepNext w:val="1"/>
      <w:keepLines w:val="1"/>
      <w:spacing w:before="340" w:beforeAutospacing="0" w:after="330" w:afterAutospacing="0" w:line="576" w:lineRule="auto"/>
      <w:outlineLvl w:val="0"/>
    </w:pPr>
    <w:rPr>
      <w:b w:val="1"/>
      <w:kern w:val="44"/>
      <w:sz w:val="44"/>
    </w:rPr>
  </w:style>
  <w:style w:type="paragraph" w:styleId="000004">
    <w:name w:val="heading 3"/>
    <w:basedOn w:val="000001"/>
    <w:next w:val="000001"/>
    <w:link w:val="000001"/>
    <w:unhideWhenUsed w:val="1"/>
    <w:qFormat w:val="1"/>
    <w:pPr>
      <w:tabs/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 w:val="1"/>
      <w:bCs w:val="1"/>
      <w:kern w:val="0"/>
      <w:sz w:val="27"/>
      <w:szCs w:val="27"/>
      <w:lang w:val="en-US" w:eastAsia="zh-CN" w:bidi="ar"/>
    </w:rPr>
  </w:style>
  <w:style w:type="paragraph" w:styleId="000003">
    <w:name w:val="heading 2"/>
    <w:basedOn w:val="000001"/>
    <w:next w:val="000001"/>
    <w:link w:val="000001"/>
    <w:unhideWhenUsed w:val="1"/>
    <w:qFormat w:val="1"/>
    <w:pPr>
      <w:keepNext w:val="1"/>
      <w:keepLines w:val="1"/>
      <w:tabs/>
      <w:spacing w:before="260" w:beforeAutospacing="0" w:after="260" w:afterAutospacing="0" w:line="413" w:lineRule="auto"/>
      <w:outlineLvl w:val="1"/>
    </w:pPr>
    <w:rPr>
      <w:rFonts w:ascii="Arial" w:hAnsi="Arial" w:eastAsia="黑体"/>
      <w:b w:val="1"/>
      <w:sz w:val="32"/>
    </w:rPr>
  </w:style>
  <w:style w:type="paragraph" w:styleId="00000d">
    <w:name w:val="Normal (Web)"/>
    <w:basedOn w:val="000001"/>
    <w:next w:val="00000d"/>
    <w:link w:val="000001"/>
    <w:rPr>
      <w:sz w:val="24"/>
    </w:rPr>
  </w:style>
  <w:style w:type="paragraph" w:styleId="000005">
    <w:name w:val="heading 4"/>
    <w:basedOn w:val="000001"/>
    <w:next w:val="000001"/>
    <w:link w:val="000001"/>
    <w:unhideWhenUsed w:val="1"/>
    <w:qFormat w:val="1"/>
    <w:pPr>
      <w:spacing w:before="100" w:beforeAutospacing="1" w:after="100" w:afterAutospacing="1"/>
      <w:jc w:val="left"/>
      <w:outlineLvl w:val="3"/>
    </w:pPr>
    <w:rPr>
      <w:rFonts w:hint="eastAsia" w:ascii="宋体" w:hAnsi="宋体" w:eastAsia="宋体" w:cs="宋体"/>
      <w:b w:val="1"/>
      <w:bCs w:val="1"/>
      <w:kern w:val="0"/>
      <w:sz w:val="24"/>
      <w:szCs w:val="24"/>
      <w:lang w:val="en-US" w:eastAsia="zh-CN" w:bidi="ar"/>
    </w:rPr>
  </w:style>
  <w:style w:type="paragraph" w:styleId="000006">
    <w:name w:val="heading 5"/>
    <w:basedOn w:val="000001"/>
    <w:next w:val="000001"/>
    <w:link w:val="000007"/>
    <w:unhideWhenUsed w:val="1"/>
    <w:qFormat w:val="1"/>
    <w:pPr>
      <w:tabs/>
      <w:spacing w:before="100" w:beforeAutospacing="1" w:after="100" w:afterAutospacing="1"/>
      <w:jc w:val="left"/>
      <w:outlineLvl w:val="4"/>
    </w:pPr>
    <w:rPr>
      <w:rFonts w:hint="eastAsia" w:ascii="宋体" w:hAnsi="宋体" w:eastAsia="宋体" w:cs="宋体"/>
      <w:b w:val="1"/>
      <w:bCs w:val="1"/>
      <w:kern w:val="0"/>
      <w:sz w:val="20"/>
      <w:szCs w:val="20"/>
      <w:lang w:val="en-US" w:eastAsia="zh-CN" w:bidi="ar"/>
    </w:rPr>
  </w:style>
  <w:style w:type="character" w:styleId="000010">
    <w:name w:val="HTML Code"/>
    <w:basedOn w:val="000009"/>
    <w:next w:val="000010"/>
    <w:link w:val="000001"/>
    <w:rPr>
      <w:rFonts w:ascii="Courier New" w:hAnsi="Courier New"/>
      <w:sz w:val="20"/>
    </w:rPr>
  </w:style>
  <w:style w:type="paragraph" w:styleId="000011">
    <w:name w:val="List Paragraph"/>
    <w:basedOn w:val="000001"/>
    <w:next w:val="000011"/>
    <w:link w:val="000001"/>
    <w:uiPriority w:val="34"/>
    <w:pPr>
      <w:tabs/>
      <w:ind w:firstLine="420" w:firstLineChars="200"/>
    </w:pPr>
  </w:style>
  <w:style w:type="character" w:styleId="000009">
    <w:name w:val="Default Paragraph Font"/>
    <w:next w:val="000009"/>
    <w:link w:val="000001"/>
  </w:style>
  <w:style w:type="paragraph" w:styleId="00000c">
    <w:name w:val="toc 2"/>
    <w:basedOn w:val="000001"/>
    <w:next w:val="000001"/>
    <w:link w:val="000001"/>
    <w:pPr>
      <w:ind w:left="420" w:leftChars="200"/>
    </w:pPr>
  </w:style>
  <w:style w:type="character" w:styleId="000007">
    <w:name w:val="标题 5 Char"/>
    <w:next w:val="000007"/>
    <w:link w:val="000006"/>
    <w:rPr>
      <w:rFonts w:hint="eastAsia" w:ascii="宋体" w:hAnsi="宋体" w:eastAsia="宋体" w:cs="宋体"/>
      <w:b w:val="1"/>
      <w:bCs w:val="1"/>
      <w:kern w:val="0"/>
      <w:sz w:val="20"/>
      <w:szCs w:val="20"/>
      <w:lang w:val="en-US" w:eastAsia="zh-CN" w:bidi="ar"/>
    </w:rPr>
  </w:style>
  <w:style w:type="paragraph" w:styleId="000008">
    <w:name w:val="heading 6"/>
    <w:basedOn w:val="000001"/>
    <w:next w:val="000001"/>
    <w:link w:val="000001"/>
    <w:unhideWhenUsed w:val="1"/>
    <w:qFormat w:val="1"/>
    <w:pPr>
      <w:keepNext w:val="1"/>
      <w:keepLines w:val="1"/>
      <w:spacing w:before="240" w:beforeAutospacing="0" w:after="64" w:afterAutospacing="0" w:line="317" w:lineRule="auto"/>
      <w:outlineLvl w:val="5"/>
    </w:pPr>
    <w:rPr>
      <w:rFonts w:ascii="Arial" w:hAnsi="Arial" w:eastAsia="黑体"/>
      <w:b w:val="1"/>
      <w:sz w:val="24"/>
    </w:rPr>
  </w:style>
  <w:style w:type="paragraph" w:styleId="00000b">
    <w:name w:val="toc 3"/>
    <w:basedOn w:val="000001"/>
    <w:next w:val="000001"/>
    <w:link w:val="000001"/>
    <w:pPr>
      <w:ind w:left="840" w:leftChars="400"/>
    </w:p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png" /><Relationship Id="rId60" Type="http://schemas.openxmlformats.org/officeDocument/2006/relationships/image" Target="media/image57.png" /><Relationship Id="rId6" Type="http://schemas.openxmlformats.org/officeDocument/2006/relationships/image" Target="media/image3.png" /><Relationship Id="rId57" Type="http://schemas.openxmlformats.org/officeDocument/2006/relationships/image" Target="media/image54.png" /><Relationship Id="rId56" Type="http://schemas.openxmlformats.org/officeDocument/2006/relationships/image" Target="media/image53.png" /><Relationship Id="rId54" Type="http://schemas.openxmlformats.org/officeDocument/2006/relationships/image" Target="media/image51.jpg" /><Relationship Id="rId52" Type="http://schemas.openxmlformats.org/officeDocument/2006/relationships/image" Target="media/image49.png" /><Relationship Id="rId50" Type="http://schemas.openxmlformats.org/officeDocument/2006/relationships/image" Target="media/image47.png" /><Relationship Id="rId59" Type="http://schemas.openxmlformats.org/officeDocument/2006/relationships/image" Target="media/image56.png" /><Relationship Id="rId5" Type="http://schemas.openxmlformats.org/officeDocument/2006/relationships/image" Target="media/image2.png" /><Relationship Id="rId9" Type="http://schemas.openxmlformats.org/officeDocument/2006/relationships/image" Target="media/image6.png" /><Relationship Id="rId49" Type="http://schemas.openxmlformats.org/officeDocument/2006/relationships/image" Target="media/image46.png" /><Relationship Id="rId47" Type="http://schemas.openxmlformats.org/officeDocument/2006/relationships/image" Target="media/image44.png" /><Relationship Id="rId46" Type="http://schemas.openxmlformats.org/officeDocument/2006/relationships/image" Target="media/image43.png" /><Relationship Id="rId45" Type="http://schemas.openxmlformats.org/officeDocument/2006/relationships/image" Target="media/image42.png" /><Relationship Id="rId44" Type="http://schemas.openxmlformats.org/officeDocument/2006/relationships/image" Target="media/image41.png" /><Relationship Id="rId42" Type="http://schemas.openxmlformats.org/officeDocument/2006/relationships/image" Target="media/image39.png" /><Relationship Id="rId32" Type="http://schemas.openxmlformats.org/officeDocument/2006/relationships/image" Target="media/image29.png" /><Relationship Id="rId21" Type="http://schemas.openxmlformats.org/officeDocument/2006/relationships/image" Target="media/image18.png" /><Relationship Id="rId26" Type="http://schemas.openxmlformats.org/officeDocument/2006/relationships/image" Target="media/image23.png" /><Relationship Id="rId18" Type="http://schemas.openxmlformats.org/officeDocument/2006/relationships/image" Target="media/image15.png" /><Relationship Id="rId27" Type="http://schemas.openxmlformats.org/officeDocument/2006/relationships/image" Target="media/image24.png" /><Relationship Id="rId7" Type="http://schemas.openxmlformats.org/officeDocument/2006/relationships/image" Target="media/image4.png" /><Relationship Id="rId33" Type="http://schemas.openxmlformats.org/officeDocument/2006/relationships/image" Target="media/image30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" Type="http://schemas.openxmlformats.org/officeDocument/2006/relationships/settings" Target="settings.xml" /><Relationship Id="rId14" Type="http://schemas.openxmlformats.org/officeDocument/2006/relationships/image" Target="media/image11.png" /><Relationship Id="rId35" Type="http://schemas.openxmlformats.org/officeDocument/2006/relationships/image" Target="media/image32.png" /><Relationship Id="rId53" Type="http://schemas.openxmlformats.org/officeDocument/2006/relationships/image" Target="media/image50.pn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12" Type="http://schemas.openxmlformats.org/officeDocument/2006/relationships/image" Target="media/image9.png" /><Relationship Id="rId55" Type="http://schemas.openxmlformats.org/officeDocument/2006/relationships/image" Target="media/image52.jpg" /><Relationship Id="rId41" Type="http://schemas.openxmlformats.org/officeDocument/2006/relationships/image" Target="media/image38.png" /><Relationship Id="rId24" Type="http://schemas.openxmlformats.org/officeDocument/2006/relationships/image" Target="media/image21.png" /><Relationship Id="rId22" Type="http://schemas.openxmlformats.org/officeDocument/2006/relationships/image" Target="media/image19.png" /><Relationship Id="rId58" Type="http://schemas.openxmlformats.org/officeDocument/2006/relationships/image" Target="media/image55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10" Type="http://schemas.openxmlformats.org/officeDocument/2006/relationships/image" Target="media/image7.png" /><Relationship Id="rId51" Type="http://schemas.openxmlformats.org/officeDocument/2006/relationships/image" Target="media/image48.png" /><Relationship Id="rId30" Type="http://schemas.openxmlformats.org/officeDocument/2006/relationships/image" Target="media/image27.png" /><Relationship Id="rId40" Type="http://schemas.openxmlformats.org/officeDocument/2006/relationships/image" Target="media/image37.png" /><Relationship Id="rId48" Type="http://schemas.openxmlformats.org/officeDocument/2006/relationships/image" Target="media/image45.png" /><Relationship Id="rId11" Type="http://schemas.openxmlformats.org/officeDocument/2006/relationships/image" Target="media/image8.png" /><Relationship Id="rId31" Type="http://schemas.openxmlformats.org/officeDocument/2006/relationships/image" Target="media/image28.png" /><Relationship Id="rId13" Type="http://schemas.openxmlformats.org/officeDocument/2006/relationships/image" Target="media/image10.png" /><Relationship Id="rId25" Type="http://schemas.openxmlformats.org/officeDocument/2006/relationships/image" Target="media/image22.png" /><Relationship Id="rId28" Type="http://schemas.openxmlformats.org/officeDocument/2006/relationships/image" Target="media/image25.png" /><Relationship Id="rId19" Type="http://schemas.openxmlformats.org/officeDocument/2006/relationships/image" Target="media/image16.png" /><Relationship Id="rId20" Type="http://schemas.openxmlformats.org/officeDocument/2006/relationships/image" Target="media/image17.png" /><Relationship Id="rId29" Type="http://schemas.openxmlformats.org/officeDocument/2006/relationships/image" Target="media/image26.png" /><Relationship Id="rId3" Type="http://schemas.openxmlformats.org/officeDocument/2006/relationships/numbering" Target="numbering.xml" /><Relationship Id="rId39" Type="http://schemas.openxmlformats.org/officeDocument/2006/relationships/image" Target="media/image36.jpg" /><Relationship Id="rId43" Type="http://schemas.openxmlformats.org/officeDocument/2006/relationships/image" Target="media/image40.png" /><Relationship Id="rId34" Type="http://schemas.openxmlformats.org/officeDocument/2006/relationships/image" Target="media/image31.png" /><Relationship Id="rId38" Type="http://schemas.openxmlformats.org/officeDocument/2006/relationships/image" Target="media/image35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4" Type="http://schemas.openxmlformats.org/officeDocument/2006/relationships/image" Target="media/image1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2026-03-10T14:14:14Z</dcterms:created>
  <dcterms:modified xsi:type="dcterms:W3CDTF">2026-03-10T14:14:14Z</dcterms:modified>
</cp:coreProperties>
</file>